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BE1" w:rsidRDefault="00694BE1" w:rsidP="00A1261E"/>
    <w:p w:rsidR="00382F53" w:rsidRDefault="00382F53" w:rsidP="00382F53"/>
    <w:p w:rsidR="00382F53" w:rsidRDefault="00382F53" w:rsidP="00382F53"/>
    <w:p w:rsidR="00C735BD" w:rsidRDefault="00C735BD" w:rsidP="00382F53">
      <w:r>
        <w:t>Nazwa Projektu</w:t>
      </w:r>
    </w:p>
    <w:p w:rsidR="00382F53" w:rsidRDefault="00382F53" w:rsidP="00382F53">
      <w:pPr>
        <w:ind w:left="360"/>
      </w:pPr>
    </w:p>
    <w:p w:rsidR="00C735BD" w:rsidRDefault="00382F53" w:rsidP="00C20728">
      <w:pPr>
        <w:jc w:val="both"/>
        <w:rPr>
          <w:b/>
          <w:sz w:val="32"/>
          <w:szCs w:val="32"/>
        </w:rPr>
      </w:pPr>
      <w:r>
        <w:rPr>
          <w:b/>
          <w:sz w:val="32"/>
          <w:szCs w:val="32"/>
        </w:rPr>
        <w:t>„</w:t>
      </w:r>
      <w:r w:rsidR="002A0C47">
        <w:rPr>
          <w:b/>
          <w:sz w:val="32"/>
          <w:szCs w:val="32"/>
        </w:rPr>
        <w:t xml:space="preserve">REKONSTRUKCJA WNĘTRZA PARTERU KURII </w:t>
      </w:r>
      <w:r w:rsidR="00C735BD" w:rsidRPr="00382F53">
        <w:rPr>
          <w:b/>
          <w:sz w:val="32"/>
          <w:szCs w:val="32"/>
        </w:rPr>
        <w:t xml:space="preserve"> </w:t>
      </w:r>
      <w:r w:rsidR="002A0C47">
        <w:rPr>
          <w:b/>
          <w:sz w:val="32"/>
          <w:szCs w:val="32"/>
        </w:rPr>
        <w:t xml:space="preserve">DZIEKANATU </w:t>
      </w:r>
      <w:r w:rsidR="00C735BD" w:rsidRPr="00382F53">
        <w:rPr>
          <w:b/>
          <w:sz w:val="32"/>
          <w:szCs w:val="32"/>
        </w:rPr>
        <w:t xml:space="preserve"> –</w:t>
      </w:r>
      <w:r w:rsidR="002A0C47">
        <w:rPr>
          <w:b/>
          <w:sz w:val="32"/>
          <w:szCs w:val="32"/>
        </w:rPr>
        <w:t xml:space="preserve"> DWORKU VON</w:t>
      </w:r>
      <w:r w:rsidR="00C735BD" w:rsidRPr="00382F53">
        <w:rPr>
          <w:b/>
          <w:sz w:val="32"/>
          <w:szCs w:val="32"/>
        </w:rPr>
        <w:t xml:space="preserve"> </w:t>
      </w:r>
      <w:r w:rsidR="002A0C47">
        <w:rPr>
          <w:b/>
          <w:sz w:val="32"/>
          <w:szCs w:val="32"/>
        </w:rPr>
        <w:t>KLEISTA W KAMIENIU POMORSKIM Z UTWORZENIEM WYSTAWY STAŁEJ POŚWIECONEJ WYNALAZCY KONDENSATORA – EWALDA VON KLEISTA W CELU REALIZACJI ODTWÓRSTWA</w:t>
      </w:r>
      <w:r w:rsidR="00C94721">
        <w:rPr>
          <w:b/>
          <w:sz w:val="32"/>
          <w:szCs w:val="32"/>
        </w:rPr>
        <w:t xml:space="preserve"> </w:t>
      </w:r>
      <w:r w:rsidR="002A0C47">
        <w:rPr>
          <w:b/>
          <w:sz w:val="32"/>
          <w:szCs w:val="32"/>
        </w:rPr>
        <w:t>HISTORYCZNEGO</w:t>
      </w:r>
      <w:r w:rsidR="00C94721">
        <w:rPr>
          <w:b/>
          <w:sz w:val="32"/>
          <w:szCs w:val="32"/>
        </w:rPr>
        <w:t xml:space="preserve"> ORAZ PROWADZENIA DZIAŁALNOŚCI WYSTAWIENNICZEJ, PREZENTACYJNEJ I EDUKACYJNEJ W ZAKRESIENIEZBĘDNYM DO OFEROWANIA USŁUG TURYSTYCZNYCH I REKREACYJNYCH.”  </w:t>
      </w:r>
    </w:p>
    <w:p w:rsidR="00584ABB" w:rsidRDefault="00584ABB" w:rsidP="00C735BD">
      <w:pPr>
        <w:rPr>
          <w:b/>
          <w:sz w:val="32"/>
          <w:szCs w:val="32"/>
        </w:rPr>
      </w:pPr>
    </w:p>
    <w:p w:rsidR="00584ABB" w:rsidRDefault="00584ABB" w:rsidP="00C735BD">
      <w:pPr>
        <w:rPr>
          <w:b/>
          <w:sz w:val="32"/>
          <w:szCs w:val="32"/>
        </w:rPr>
      </w:pPr>
    </w:p>
    <w:p w:rsidR="00584ABB" w:rsidRDefault="00584ABB" w:rsidP="00C735BD">
      <w:pPr>
        <w:rPr>
          <w:b/>
          <w:sz w:val="32"/>
          <w:szCs w:val="32"/>
        </w:rPr>
      </w:pPr>
    </w:p>
    <w:p w:rsidR="00584ABB" w:rsidRDefault="00584ABB" w:rsidP="00C735BD">
      <w:pPr>
        <w:rPr>
          <w:b/>
          <w:sz w:val="32"/>
          <w:szCs w:val="32"/>
        </w:rPr>
      </w:pPr>
    </w:p>
    <w:p w:rsidR="00584ABB" w:rsidRDefault="00C20728" w:rsidP="00C735BD">
      <w:pPr>
        <w:rPr>
          <w:b/>
          <w:sz w:val="32"/>
          <w:szCs w:val="32"/>
        </w:rPr>
      </w:pPr>
      <w:r>
        <w:rPr>
          <w:noProof/>
        </w:rPr>
        <w:drawing>
          <wp:inline distT="0" distB="0" distL="0" distR="0">
            <wp:extent cx="5534025" cy="4189562"/>
            <wp:effectExtent l="0" t="0" r="0" b="1905"/>
            <wp:docPr id="2" name="Obraz 2" descr="C:\Users\t.konopacki\AppData\Local\Microsoft\Windows\INetCache\Content.Word\IMG_1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onopacki\AppData\Local\Microsoft\Windows\INetCache\Content.Word\IMG_157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4025" cy="4189562"/>
                    </a:xfrm>
                    <a:prstGeom prst="rect">
                      <a:avLst/>
                    </a:prstGeom>
                    <a:noFill/>
                    <a:ln>
                      <a:noFill/>
                    </a:ln>
                  </pic:spPr>
                </pic:pic>
              </a:graphicData>
            </a:graphic>
          </wp:inline>
        </w:drawing>
      </w:r>
    </w:p>
    <w:p w:rsidR="00584ABB" w:rsidRPr="001D3F20" w:rsidRDefault="00584ABB" w:rsidP="00C20728">
      <w:pPr>
        <w:jc w:val="both"/>
        <w:rPr>
          <w:b/>
          <w:sz w:val="28"/>
          <w:szCs w:val="28"/>
        </w:rPr>
      </w:pPr>
      <w:r w:rsidRPr="001D3F20">
        <w:rPr>
          <w:b/>
          <w:sz w:val="28"/>
          <w:szCs w:val="28"/>
        </w:rPr>
        <w:lastRenderedPageBreak/>
        <w:t>W dniu 19 marca 2019 roku Gmina Kamień Pomorski podpisała z Zarządem Województwa Zachodniopomorskiego umowę o dofinasowanie Projektu „Rekonstrukcja wnętrza parteru Kurii Dziekanatu – Dworku von Kleista w Kamieniu Pomorskim z utworzeniem wystawy stałej poświęconej wynalazcy kondensatora – Ewalda von Kleista w celu realizacji odtwórstwa historycznego oraz prowadzenia działalności wystawienniczej, prezentacyjnej i edukacyjnej w zakresie niezbędnym do oferowania usług turystycznych i rekreacyjnych.”</w:t>
      </w:r>
    </w:p>
    <w:p w:rsidR="00382F53" w:rsidRPr="001D3F20" w:rsidRDefault="00584ABB" w:rsidP="00C20728">
      <w:pPr>
        <w:jc w:val="both"/>
        <w:rPr>
          <w:b/>
          <w:sz w:val="28"/>
          <w:szCs w:val="28"/>
        </w:rPr>
      </w:pPr>
      <w:r w:rsidRPr="001D3F20">
        <w:rPr>
          <w:b/>
          <w:sz w:val="28"/>
          <w:szCs w:val="28"/>
        </w:rPr>
        <w:t>Nr RPZP.04.09.00-32-7003/18-00 w ramach</w:t>
      </w:r>
      <w:r w:rsidR="00382F53" w:rsidRPr="001D3F20">
        <w:rPr>
          <w:b/>
          <w:sz w:val="28"/>
          <w:szCs w:val="28"/>
        </w:rPr>
        <w:t xml:space="preserve"> Regionalnego Programu Operacyjnego Województwa Zachodniopomorskiego 2014-2020</w:t>
      </w:r>
      <w:r w:rsidR="00D957FA" w:rsidRPr="001D3F20">
        <w:rPr>
          <w:b/>
          <w:sz w:val="28"/>
          <w:szCs w:val="28"/>
        </w:rPr>
        <w:t xml:space="preserve"> Oś Priorytetowa 4 Naturalne otoczenie człowieka Działanie 4.9 Rozwój zasobów endogenicznych</w:t>
      </w:r>
    </w:p>
    <w:p w:rsidR="00584ABB" w:rsidRPr="001D3F20" w:rsidRDefault="00FC49C0" w:rsidP="00C20728">
      <w:pPr>
        <w:jc w:val="both"/>
        <w:rPr>
          <w:b/>
          <w:sz w:val="28"/>
          <w:szCs w:val="28"/>
        </w:rPr>
      </w:pPr>
      <w:r w:rsidRPr="001D3F20">
        <w:rPr>
          <w:b/>
          <w:sz w:val="28"/>
          <w:szCs w:val="28"/>
        </w:rPr>
        <w:t xml:space="preserve">Całkowite wydatki Projektu wynoszą </w:t>
      </w:r>
      <w:r w:rsidRPr="008148BF">
        <w:rPr>
          <w:b/>
          <w:color w:val="C00000"/>
          <w:sz w:val="28"/>
          <w:szCs w:val="28"/>
        </w:rPr>
        <w:t xml:space="preserve">2.458.809,65 </w:t>
      </w:r>
      <w:r w:rsidRPr="001D3F20">
        <w:rPr>
          <w:b/>
          <w:sz w:val="28"/>
          <w:szCs w:val="28"/>
        </w:rPr>
        <w:t>złotych</w:t>
      </w:r>
      <w:r w:rsidR="00B9445D" w:rsidRPr="001D3F20">
        <w:rPr>
          <w:b/>
          <w:sz w:val="28"/>
          <w:szCs w:val="28"/>
        </w:rPr>
        <w:t>.</w:t>
      </w:r>
    </w:p>
    <w:p w:rsidR="00FC49C0" w:rsidRPr="001D3F20" w:rsidRDefault="00B9445D" w:rsidP="00C20728">
      <w:pPr>
        <w:jc w:val="both"/>
        <w:rPr>
          <w:b/>
          <w:sz w:val="28"/>
          <w:szCs w:val="28"/>
        </w:rPr>
      </w:pPr>
      <w:r w:rsidRPr="001D3F20">
        <w:rPr>
          <w:b/>
          <w:sz w:val="28"/>
          <w:szCs w:val="28"/>
        </w:rPr>
        <w:t>Cał</w:t>
      </w:r>
      <w:r w:rsidR="00FC49C0" w:rsidRPr="001D3F20">
        <w:rPr>
          <w:b/>
          <w:sz w:val="28"/>
          <w:szCs w:val="28"/>
        </w:rPr>
        <w:t xml:space="preserve">kowite wydatki kwalifikowane Projektu wynoszą nie więcej niż </w:t>
      </w:r>
      <w:r w:rsidRPr="008148BF">
        <w:rPr>
          <w:b/>
          <w:color w:val="C00000"/>
          <w:sz w:val="28"/>
          <w:szCs w:val="28"/>
        </w:rPr>
        <w:t>2.</w:t>
      </w:r>
      <w:r w:rsidR="00FC49C0" w:rsidRPr="008148BF">
        <w:rPr>
          <w:b/>
          <w:color w:val="C00000"/>
          <w:sz w:val="28"/>
          <w:szCs w:val="28"/>
        </w:rPr>
        <w:t>458.809,65</w:t>
      </w:r>
      <w:r w:rsidRPr="008148BF">
        <w:rPr>
          <w:b/>
          <w:color w:val="C00000"/>
          <w:sz w:val="28"/>
          <w:szCs w:val="28"/>
        </w:rPr>
        <w:t xml:space="preserve"> </w:t>
      </w:r>
      <w:r w:rsidRPr="001D3F20">
        <w:rPr>
          <w:b/>
          <w:sz w:val="28"/>
          <w:szCs w:val="28"/>
        </w:rPr>
        <w:t>złotych.</w:t>
      </w:r>
    </w:p>
    <w:p w:rsidR="00B9445D" w:rsidRPr="001D3F20" w:rsidRDefault="00B9445D" w:rsidP="00C20728">
      <w:pPr>
        <w:jc w:val="both"/>
        <w:rPr>
          <w:b/>
          <w:sz w:val="28"/>
          <w:szCs w:val="28"/>
        </w:rPr>
      </w:pPr>
      <w:r w:rsidRPr="001D3F20">
        <w:rPr>
          <w:b/>
          <w:sz w:val="28"/>
          <w:szCs w:val="28"/>
        </w:rPr>
        <w:t xml:space="preserve">Gmina otrzymała dofinansowanie do kwoty </w:t>
      </w:r>
      <w:r w:rsidRPr="008148BF">
        <w:rPr>
          <w:b/>
          <w:color w:val="C00000"/>
          <w:sz w:val="28"/>
          <w:szCs w:val="28"/>
        </w:rPr>
        <w:t xml:space="preserve">2.089.988,20 </w:t>
      </w:r>
      <w:r w:rsidRPr="001D3F20">
        <w:rPr>
          <w:b/>
          <w:sz w:val="28"/>
          <w:szCs w:val="28"/>
        </w:rPr>
        <w:t xml:space="preserve">złotych, stanowiącej nie więcej niż </w:t>
      </w:r>
      <w:r w:rsidRPr="008148BF">
        <w:rPr>
          <w:b/>
          <w:color w:val="C00000"/>
          <w:sz w:val="28"/>
          <w:szCs w:val="28"/>
        </w:rPr>
        <w:t>84,9999998983</w:t>
      </w:r>
      <w:r w:rsidRPr="001D3F20">
        <w:rPr>
          <w:b/>
          <w:sz w:val="28"/>
          <w:szCs w:val="28"/>
        </w:rPr>
        <w:t>% całkowitych wydatków kwalifikowanych Projektu: w tym:</w:t>
      </w:r>
    </w:p>
    <w:p w:rsidR="00B9445D" w:rsidRPr="001D3F20" w:rsidRDefault="00B9445D" w:rsidP="00C20728">
      <w:pPr>
        <w:jc w:val="both"/>
        <w:rPr>
          <w:b/>
          <w:sz w:val="28"/>
          <w:szCs w:val="28"/>
        </w:rPr>
      </w:pPr>
      <w:r w:rsidRPr="001D3F20">
        <w:rPr>
          <w:b/>
          <w:sz w:val="28"/>
          <w:szCs w:val="28"/>
        </w:rPr>
        <w:t xml:space="preserve">- ze środków EFRR do kwoty </w:t>
      </w:r>
      <w:r w:rsidRPr="008148BF">
        <w:rPr>
          <w:b/>
          <w:color w:val="C00000"/>
          <w:sz w:val="28"/>
          <w:szCs w:val="28"/>
        </w:rPr>
        <w:t xml:space="preserve">2.089.988,20 </w:t>
      </w:r>
      <w:r w:rsidRPr="001D3F20">
        <w:rPr>
          <w:b/>
          <w:sz w:val="28"/>
          <w:szCs w:val="28"/>
        </w:rPr>
        <w:t>złotych</w:t>
      </w:r>
      <w:r w:rsidR="002A0C47" w:rsidRPr="001D3F20">
        <w:rPr>
          <w:b/>
          <w:sz w:val="28"/>
          <w:szCs w:val="28"/>
        </w:rPr>
        <w:t>,</w:t>
      </w:r>
    </w:p>
    <w:p w:rsidR="002A0C47" w:rsidRPr="001D3F20" w:rsidRDefault="002A0C47" w:rsidP="00C20728">
      <w:pPr>
        <w:jc w:val="both"/>
        <w:rPr>
          <w:b/>
          <w:sz w:val="28"/>
          <w:szCs w:val="28"/>
        </w:rPr>
      </w:pPr>
      <w:r w:rsidRPr="001D3F20">
        <w:rPr>
          <w:b/>
          <w:sz w:val="28"/>
          <w:szCs w:val="28"/>
        </w:rPr>
        <w:t xml:space="preserve">- dofinansowanie kwalifikowanych kosztów bezpośrednich Projektu do kwoty </w:t>
      </w:r>
      <w:r w:rsidRPr="008148BF">
        <w:rPr>
          <w:b/>
          <w:color w:val="C00000"/>
          <w:sz w:val="28"/>
          <w:szCs w:val="28"/>
        </w:rPr>
        <w:t xml:space="preserve">2.089.988,20 </w:t>
      </w:r>
      <w:r w:rsidRPr="001D3F20">
        <w:rPr>
          <w:b/>
          <w:sz w:val="28"/>
          <w:szCs w:val="28"/>
        </w:rPr>
        <w:t>złotych.</w:t>
      </w:r>
    </w:p>
    <w:p w:rsidR="00B9445D" w:rsidRDefault="00B9445D" w:rsidP="00C20728">
      <w:pPr>
        <w:jc w:val="both"/>
        <w:rPr>
          <w:sz w:val="28"/>
          <w:szCs w:val="28"/>
        </w:rPr>
      </w:pPr>
      <w:r w:rsidRPr="001D3F20">
        <w:rPr>
          <w:b/>
          <w:sz w:val="28"/>
          <w:szCs w:val="28"/>
        </w:rPr>
        <w:t xml:space="preserve">Wkład własny Gminy wynosić będzie nie mniej niż </w:t>
      </w:r>
      <w:r w:rsidRPr="008148BF">
        <w:rPr>
          <w:b/>
          <w:color w:val="C00000"/>
          <w:sz w:val="28"/>
          <w:szCs w:val="28"/>
        </w:rPr>
        <w:t xml:space="preserve">368.821,45 </w:t>
      </w:r>
      <w:r w:rsidRPr="001D3F20">
        <w:rPr>
          <w:b/>
          <w:sz w:val="28"/>
          <w:szCs w:val="28"/>
        </w:rPr>
        <w:t>złotych</w:t>
      </w:r>
      <w:r>
        <w:rPr>
          <w:sz w:val="28"/>
          <w:szCs w:val="28"/>
        </w:rPr>
        <w:t>.</w:t>
      </w:r>
    </w:p>
    <w:p w:rsidR="00254378" w:rsidRDefault="00254378" w:rsidP="00C735BD">
      <w:pPr>
        <w:rPr>
          <w:sz w:val="28"/>
          <w:szCs w:val="28"/>
        </w:rPr>
      </w:pPr>
    </w:p>
    <w:p w:rsidR="00254378" w:rsidRDefault="00254378" w:rsidP="00C20728">
      <w:pPr>
        <w:jc w:val="both"/>
        <w:rPr>
          <w:sz w:val="28"/>
          <w:szCs w:val="28"/>
        </w:rPr>
      </w:pPr>
    </w:p>
    <w:p w:rsidR="00254378" w:rsidRPr="001D3F20" w:rsidRDefault="00254378" w:rsidP="00C20728">
      <w:pPr>
        <w:jc w:val="both"/>
        <w:rPr>
          <w:b/>
          <w:color w:val="C00000"/>
          <w:sz w:val="28"/>
          <w:szCs w:val="28"/>
        </w:rPr>
      </w:pPr>
      <w:r w:rsidRPr="001D3F20">
        <w:rPr>
          <w:b/>
          <w:color w:val="C00000"/>
          <w:sz w:val="28"/>
          <w:szCs w:val="28"/>
        </w:rPr>
        <w:t>MUZEUM HISTORII ZIEMI KAMIEŃSKIEJ</w:t>
      </w:r>
    </w:p>
    <w:p w:rsidR="00406759" w:rsidRPr="00254378" w:rsidRDefault="00406759" w:rsidP="00C20728">
      <w:pPr>
        <w:jc w:val="both"/>
        <w:rPr>
          <w:b/>
          <w:sz w:val="28"/>
          <w:szCs w:val="28"/>
        </w:rPr>
      </w:pPr>
    </w:p>
    <w:p w:rsidR="00254378" w:rsidRDefault="00254378" w:rsidP="00C20728">
      <w:pPr>
        <w:jc w:val="both"/>
        <w:rPr>
          <w:b/>
          <w:sz w:val="28"/>
          <w:szCs w:val="28"/>
        </w:rPr>
      </w:pPr>
      <w:r w:rsidRPr="00254378">
        <w:rPr>
          <w:b/>
          <w:sz w:val="28"/>
          <w:szCs w:val="28"/>
        </w:rPr>
        <w:t>Założenia ogólne</w:t>
      </w:r>
    </w:p>
    <w:p w:rsidR="00406759" w:rsidRPr="00254378" w:rsidRDefault="00406759" w:rsidP="00C20728">
      <w:pPr>
        <w:jc w:val="both"/>
        <w:rPr>
          <w:b/>
          <w:sz w:val="28"/>
          <w:szCs w:val="28"/>
        </w:rPr>
      </w:pPr>
    </w:p>
    <w:p w:rsidR="00254378" w:rsidRPr="00254378" w:rsidRDefault="00254378" w:rsidP="00C20728">
      <w:pPr>
        <w:jc w:val="both"/>
        <w:rPr>
          <w:b/>
          <w:sz w:val="28"/>
          <w:szCs w:val="28"/>
        </w:rPr>
      </w:pPr>
      <w:r w:rsidRPr="00254378">
        <w:rPr>
          <w:b/>
          <w:sz w:val="28"/>
          <w:szCs w:val="28"/>
        </w:rPr>
        <w:t>Planowana wystawa stała „Dzieło Ewalda von Kleista i jego następstwa dla rozwoju elektrostatyki” w Muzeum Ziemi Kamieńskiej ma na celu zaprezentowanie przełomowego odkrycia kondensatora elektrycznego o zmiennej pojemności, dokonanego przez mieszkańca Kamienia Pomorskiego, które zrewolucjonizowało badania nad elektrycznością. Stanowić będzie nie tylko monograficzną prezentację osiągnięć naukowca, ale także wskaże na dziedzictwo jego odkrycia, które jest przełomowe i wykorzystywane do dziś w skali światowej.</w:t>
      </w:r>
    </w:p>
    <w:p w:rsidR="00254378" w:rsidRPr="00254378" w:rsidRDefault="00254378" w:rsidP="00C20728">
      <w:pPr>
        <w:jc w:val="both"/>
        <w:rPr>
          <w:b/>
          <w:sz w:val="28"/>
          <w:szCs w:val="28"/>
        </w:rPr>
      </w:pPr>
      <w:r w:rsidRPr="00254378">
        <w:rPr>
          <w:b/>
          <w:sz w:val="28"/>
          <w:szCs w:val="28"/>
        </w:rPr>
        <w:t xml:space="preserve">Ewald von Kleist mieszkający w Kamieniu Pomorskim, 11 października 1745 r. skonstruował jako pierwszy na świecie prototyp kondensatora elektrycznego, zwany „butelką Kleista”. Było to szklane naczynie, wypełnione wodą lub spirytusem, zatkane korkiem, który przebity był na wylot miedzianym prętem. Pojemność elektryczną można było znacznie zwiększyć, pokrywając szkło z obu stron folią przewodzącą prąd. </w:t>
      </w:r>
      <w:r w:rsidRPr="00254378">
        <w:rPr>
          <w:b/>
          <w:sz w:val="28"/>
          <w:szCs w:val="28"/>
        </w:rPr>
        <w:lastRenderedPageBreak/>
        <w:t xml:space="preserve">Powtórzenia i potwierdzenie udanego eksperymentu z użyciem "butelki Kleista” dokonał ówczesny burmistrz Gdańska Daniel </w:t>
      </w:r>
      <w:proofErr w:type="spellStart"/>
      <w:r w:rsidRPr="00254378">
        <w:rPr>
          <w:b/>
          <w:sz w:val="28"/>
          <w:szCs w:val="28"/>
        </w:rPr>
        <w:t>Gralath</w:t>
      </w:r>
      <w:proofErr w:type="spellEnd"/>
      <w:r w:rsidRPr="00254378">
        <w:rPr>
          <w:b/>
          <w:sz w:val="28"/>
          <w:szCs w:val="28"/>
        </w:rPr>
        <w:t>, który korespondował z kamieńskim odkrywcą.</w:t>
      </w:r>
    </w:p>
    <w:p w:rsidR="00254378" w:rsidRPr="00254378" w:rsidRDefault="00254378" w:rsidP="00C20728">
      <w:pPr>
        <w:jc w:val="both"/>
        <w:rPr>
          <w:b/>
          <w:sz w:val="28"/>
          <w:szCs w:val="28"/>
        </w:rPr>
      </w:pPr>
      <w:r w:rsidRPr="00254378">
        <w:rPr>
          <w:b/>
          <w:sz w:val="28"/>
          <w:szCs w:val="28"/>
        </w:rPr>
        <w:t xml:space="preserve">Sława z tego epokowego odkrycia przypadła jednak holenderskiemu fizykowi - Pieterowi van </w:t>
      </w:r>
      <w:proofErr w:type="spellStart"/>
      <w:r w:rsidRPr="00254378">
        <w:rPr>
          <w:b/>
          <w:sz w:val="28"/>
          <w:szCs w:val="28"/>
        </w:rPr>
        <w:t>Musschenbroekowi</w:t>
      </w:r>
      <w:proofErr w:type="spellEnd"/>
      <w:r w:rsidRPr="00254378">
        <w:rPr>
          <w:b/>
          <w:sz w:val="28"/>
          <w:szCs w:val="28"/>
        </w:rPr>
        <w:t>, który pod koniec 1745 r., niezależnie od kamieńskiego wynalazcy, skonstruował takie samo urządzenie, czyli „butelkę lejdejską”. Należy pamiętać, że chociaż nazwa „butelka lejdejska” jest częściej stosowana, to pierwszym kondensatorem elektrycznym był ten zbudowany w Kamieniu Pomorskim. Z tej przyczyny niezwykle istotne jest wyeksponowanie miejsca przeprowadzenia udanego eksperymentu, które jest powodem do dumy dla miasta i całego regionu. Fakt ten nie jest powszechnie znany, dlatego tym większe znaczenie ma jego podkreślenie.</w:t>
      </w:r>
    </w:p>
    <w:p w:rsidR="00254378" w:rsidRDefault="00254378" w:rsidP="00C20728">
      <w:pPr>
        <w:jc w:val="both"/>
        <w:rPr>
          <w:b/>
          <w:sz w:val="28"/>
          <w:szCs w:val="28"/>
        </w:rPr>
      </w:pPr>
      <w:r w:rsidRPr="00254378">
        <w:rPr>
          <w:b/>
          <w:sz w:val="28"/>
          <w:szCs w:val="28"/>
        </w:rPr>
        <w:t>Wystawa powinna wygenerować także zwiększony ruch turystyczny w mieście, które każdego lata odwiedza dziesiątki tysięcy turystów i kuracjuszy z kraju i z zagranicy. W związku z tym ekspozycja planowana jest w 3 wersjach językowych (polskiej, angielskiej i niemieckiej oraz alfabetem Braille'a).</w:t>
      </w:r>
    </w:p>
    <w:p w:rsidR="00406759" w:rsidRPr="00254378" w:rsidRDefault="00406759" w:rsidP="00C20728">
      <w:pPr>
        <w:jc w:val="both"/>
        <w:rPr>
          <w:b/>
          <w:sz w:val="28"/>
          <w:szCs w:val="28"/>
        </w:rPr>
      </w:pPr>
    </w:p>
    <w:p w:rsidR="00254378" w:rsidRDefault="00254378" w:rsidP="00C20728">
      <w:pPr>
        <w:jc w:val="both"/>
        <w:rPr>
          <w:b/>
          <w:sz w:val="28"/>
          <w:szCs w:val="28"/>
        </w:rPr>
      </w:pPr>
      <w:r w:rsidRPr="00254378">
        <w:rPr>
          <w:b/>
          <w:sz w:val="28"/>
          <w:szCs w:val="28"/>
        </w:rPr>
        <w:t>Droga zwiedzania</w:t>
      </w:r>
    </w:p>
    <w:p w:rsidR="00406759" w:rsidRPr="00254378" w:rsidRDefault="00406759" w:rsidP="00C20728">
      <w:pPr>
        <w:jc w:val="both"/>
        <w:rPr>
          <w:b/>
          <w:sz w:val="28"/>
          <w:szCs w:val="28"/>
        </w:rPr>
      </w:pPr>
    </w:p>
    <w:p w:rsidR="00254378" w:rsidRDefault="00254378" w:rsidP="00C20728">
      <w:pPr>
        <w:jc w:val="both"/>
        <w:rPr>
          <w:b/>
          <w:sz w:val="28"/>
          <w:szCs w:val="28"/>
        </w:rPr>
      </w:pPr>
      <w:r w:rsidRPr="00254378">
        <w:rPr>
          <w:b/>
          <w:sz w:val="28"/>
          <w:szCs w:val="28"/>
        </w:rPr>
        <w:t>Wchodząc na wystawę możemy zapoznać się z jej tytułem, tematem oraz historią elektryczności. Kierunek oraz rytm zwiedzania wyznaczają prezenter</w:t>
      </w:r>
      <w:r w:rsidR="00406759">
        <w:rPr>
          <w:b/>
          <w:sz w:val="28"/>
          <w:szCs w:val="28"/>
        </w:rPr>
        <w:t>z</w:t>
      </w:r>
      <w:r w:rsidRPr="00254378">
        <w:rPr>
          <w:b/>
          <w:sz w:val="28"/>
          <w:szCs w:val="28"/>
        </w:rPr>
        <w:t>y w formie ścianek, zaprojektowane instalacje oraz efekty świetlne w postaci pasów LED-owych z animowanymi impulsami świetlnymi.</w:t>
      </w:r>
    </w:p>
    <w:p w:rsidR="006D213A" w:rsidRDefault="006D213A" w:rsidP="00C20728">
      <w:pPr>
        <w:jc w:val="both"/>
        <w:rPr>
          <w:b/>
          <w:sz w:val="28"/>
          <w:szCs w:val="28"/>
        </w:rPr>
      </w:pPr>
    </w:p>
    <w:p w:rsidR="006D213A" w:rsidRDefault="006D213A" w:rsidP="00C20728">
      <w:pPr>
        <w:jc w:val="both"/>
        <w:rPr>
          <w:b/>
          <w:sz w:val="28"/>
          <w:szCs w:val="28"/>
        </w:rPr>
      </w:pPr>
      <w:r w:rsidRPr="006D213A">
        <w:rPr>
          <w:b/>
          <w:noProof/>
          <w:sz w:val="28"/>
          <w:szCs w:val="28"/>
        </w:rPr>
        <w:drawing>
          <wp:inline distT="0" distB="0" distL="0" distR="0">
            <wp:extent cx="5172075" cy="317182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2075" cy="3171825"/>
                    </a:xfrm>
                    <a:prstGeom prst="rect">
                      <a:avLst/>
                    </a:prstGeom>
                    <a:noFill/>
                    <a:ln>
                      <a:noFill/>
                    </a:ln>
                  </pic:spPr>
                </pic:pic>
              </a:graphicData>
            </a:graphic>
          </wp:inline>
        </w:drawing>
      </w:r>
    </w:p>
    <w:p w:rsidR="00254378" w:rsidRDefault="00254378" w:rsidP="00C20728">
      <w:pPr>
        <w:jc w:val="both"/>
        <w:rPr>
          <w:b/>
          <w:sz w:val="28"/>
          <w:szCs w:val="28"/>
        </w:rPr>
      </w:pPr>
      <w:r w:rsidRPr="00254378">
        <w:rPr>
          <w:b/>
          <w:sz w:val="28"/>
          <w:szCs w:val="28"/>
        </w:rPr>
        <w:lastRenderedPageBreak/>
        <w:t>Rys. 2: Kierunek zwiedzania wystawy stałej</w:t>
      </w:r>
    </w:p>
    <w:p w:rsidR="000B661D" w:rsidRDefault="000B661D" w:rsidP="000B661D">
      <w:pPr>
        <w:jc w:val="both"/>
        <w:rPr>
          <w:b/>
          <w:sz w:val="28"/>
          <w:szCs w:val="28"/>
        </w:rPr>
      </w:pPr>
      <w:r w:rsidRPr="00254378">
        <w:rPr>
          <w:b/>
          <w:sz w:val="28"/>
          <w:szCs w:val="28"/>
        </w:rPr>
        <w:t>Źródło: Dokumentacja techniczno-projektowa</w:t>
      </w:r>
    </w:p>
    <w:p w:rsidR="00406759" w:rsidRPr="00254378" w:rsidRDefault="00406759" w:rsidP="00C20728">
      <w:pPr>
        <w:jc w:val="both"/>
        <w:rPr>
          <w:b/>
          <w:sz w:val="28"/>
          <w:szCs w:val="28"/>
        </w:rPr>
      </w:pPr>
    </w:p>
    <w:p w:rsidR="003B6443" w:rsidRDefault="00254378" w:rsidP="00C20728">
      <w:pPr>
        <w:jc w:val="both"/>
        <w:rPr>
          <w:b/>
          <w:sz w:val="28"/>
          <w:szCs w:val="28"/>
        </w:rPr>
      </w:pPr>
      <w:r w:rsidRPr="00254378">
        <w:rPr>
          <w:b/>
          <w:sz w:val="28"/>
          <w:szCs w:val="28"/>
        </w:rPr>
        <w:t>Następnie, zwiedzający zapoznają się z życiorysem Ewalda von Kleista, głównego bohatera wystawy. Biografia przedstawiona zostanie w formie komiksu, co w przyjemny sposób zachęci do poznania historii wynalazcy kondensatora. Kolejnym elementem wystawy, będącym jednocześnie pierwszą instalacją historyczną, jest stanowisko przedstawiające rekonstrukcję doświadczenia</w:t>
      </w:r>
      <w:r w:rsidR="00BB64CA">
        <w:rPr>
          <w:b/>
          <w:sz w:val="28"/>
          <w:szCs w:val="28"/>
        </w:rPr>
        <w:t xml:space="preserve"> </w:t>
      </w:r>
      <w:r w:rsidRPr="00254378">
        <w:rPr>
          <w:b/>
          <w:sz w:val="28"/>
          <w:szCs w:val="28"/>
        </w:rPr>
        <w:t>Graya, podczas którego zwiedzający - leżąc na plecach - mogą w interesujący sposób przekonać się, że ciało ludzkie jest znakomitym przewodnikiem. Zostanie ono zaaranżowane w ciekawy sposób zarówno pod względem wizualnym jak również dlatego, że pozwoli na pełne zaangażowanie zwiedzających w eksperyment. Przedstawiona maszyna jest odwzorowaniem tej skonstruowanej w latach 20-tych XVIII wieku przez Stephena Graya. Przy jej pomocy pokazywał on ludziom sztuczkę z przewodnikami i izolatorami. Oprócz maszyny elektrostatycznej, stanowisko będzie się składać z drewnianej konstrukcji. Osoba na niej ułożona, po przyczepieniu np. do nogi izolowanego drucika, będzie przewodzić ładunki elektryczne, dzięki czemu do ręki będą przyciągane rozsypane papierki lub płatki folii metalowej. Tuż obok stanowiska będzie znajdował się prezenter informacyjny, objaśniający sposób, w jaki należy wykonać eksperyment oraz zasadę jego działania.</w:t>
      </w:r>
    </w:p>
    <w:p w:rsidR="003B6443" w:rsidRDefault="003B6443" w:rsidP="00C20728">
      <w:pPr>
        <w:jc w:val="both"/>
        <w:rPr>
          <w:b/>
          <w:sz w:val="28"/>
          <w:szCs w:val="28"/>
        </w:rPr>
      </w:pPr>
      <w:r w:rsidRPr="003B6443">
        <w:rPr>
          <w:b/>
          <w:noProof/>
          <w:sz w:val="28"/>
          <w:szCs w:val="28"/>
        </w:rPr>
        <w:drawing>
          <wp:inline distT="0" distB="0" distL="0" distR="0">
            <wp:extent cx="3686175" cy="351472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6175" cy="3514725"/>
                    </a:xfrm>
                    <a:prstGeom prst="rect">
                      <a:avLst/>
                    </a:prstGeom>
                    <a:noFill/>
                    <a:ln>
                      <a:noFill/>
                    </a:ln>
                  </pic:spPr>
                </pic:pic>
              </a:graphicData>
            </a:graphic>
          </wp:inline>
        </w:drawing>
      </w:r>
    </w:p>
    <w:p w:rsidR="000B661D" w:rsidRDefault="00254378" w:rsidP="00C20728">
      <w:pPr>
        <w:jc w:val="both"/>
        <w:rPr>
          <w:b/>
          <w:sz w:val="28"/>
          <w:szCs w:val="28"/>
        </w:rPr>
      </w:pPr>
      <w:r w:rsidRPr="00254378">
        <w:rPr>
          <w:b/>
          <w:sz w:val="28"/>
          <w:szCs w:val="28"/>
        </w:rPr>
        <w:t>Rys. 3: Wizualizacja doświadczenia Graya</w:t>
      </w:r>
    </w:p>
    <w:p w:rsidR="00254378" w:rsidRDefault="00254378" w:rsidP="00C20728">
      <w:pPr>
        <w:jc w:val="both"/>
        <w:rPr>
          <w:b/>
          <w:sz w:val="28"/>
          <w:szCs w:val="28"/>
        </w:rPr>
      </w:pPr>
      <w:r w:rsidRPr="00254378">
        <w:rPr>
          <w:b/>
          <w:sz w:val="28"/>
          <w:szCs w:val="28"/>
        </w:rPr>
        <w:t>Źródło: Dokumentacja techniczno-projektowa</w:t>
      </w:r>
    </w:p>
    <w:p w:rsidR="000B661D" w:rsidRPr="00254378" w:rsidRDefault="000B661D" w:rsidP="00C20728">
      <w:pPr>
        <w:jc w:val="both"/>
        <w:rPr>
          <w:b/>
          <w:sz w:val="28"/>
          <w:szCs w:val="28"/>
        </w:rPr>
      </w:pPr>
    </w:p>
    <w:p w:rsidR="00254378" w:rsidRDefault="00254378" w:rsidP="00C20728">
      <w:pPr>
        <w:jc w:val="both"/>
        <w:rPr>
          <w:b/>
          <w:sz w:val="28"/>
          <w:szCs w:val="28"/>
        </w:rPr>
      </w:pPr>
      <w:r w:rsidRPr="00254378">
        <w:rPr>
          <w:b/>
          <w:sz w:val="28"/>
          <w:szCs w:val="28"/>
        </w:rPr>
        <w:lastRenderedPageBreak/>
        <w:t>W dalszej części ekspozycji przewidywane są stanowiska doświadczalne związane z elektrostatyką, przy których każdy może</w:t>
      </w:r>
      <w:r w:rsidR="00207FD0">
        <w:rPr>
          <w:b/>
          <w:sz w:val="28"/>
          <w:szCs w:val="28"/>
        </w:rPr>
        <w:t xml:space="preserve"> </w:t>
      </w:r>
      <w:r w:rsidRPr="00254378">
        <w:rPr>
          <w:b/>
          <w:sz w:val="28"/>
          <w:szCs w:val="28"/>
        </w:rPr>
        <w:t>spróbować swoich sił, aby wytwarzać elektryczność. Tu znajdziemy różnego rodzaju maszyny elektrostatyczne zaczynając od rekonstrukcji butelki lejdejskiej/Kleista, poprzez tuby i kule plazmowe, po większą maszynę elektrostatyczną. Przewidziane zostały w tej przestrzeni stanowiska edukacyjne dla 8 osób. O wszystkich elementach będziemy mogli dowiedzieć się więcej korzystając z paneli dotykowych wbudowanych w stół doświadczalny, w których znajdzie się także słownik terminów elektrycznych. Stanowiska dopełniać będą przedstawienia ikonograficzne dawnych urządzeń doświadczalnych związanych z wytwarzaniem lub stosowaniem elektryczności, o których dowiedzieć się więcej będzie można za pomocą odczytania kodów QR urządzeniami przenośnymi.</w:t>
      </w:r>
    </w:p>
    <w:p w:rsidR="00207FD0" w:rsidRDefault="00207FD0" w:rsidP="00C20728">
      <w:pPr>
        <w:jc w:val="both"/>
        <w:rPr>
          <w:b/>
          <w:sz w:val="28"/>
          <w:szCs w:val="28"/>
        </w:rPr>
      </w:pPr>
    </w:p>
    <w:p w:rsidR="00207FD0" w:rsidRPr="00254378" w:rsidRDefault="00207FD0" w:rsidP="00C20728">
      <w:pPr>
        <w:jc w:val="both"/>
        <w:rPr>
          <w:b/>
          <w:sz w:val="28"/>
          <w:szCs w:val="28"/>
        </w:rPr>
      </w:pPr>
      <w:r w:rsidRPr="00207FD0">
        <w:rPr>
          <w:b/>
          <w:noProof/>
          <w:sz w:val="28"/>
          <w:szCs w:val="28"/>
        </w:rPr>
        <w:drawing>
          <wp:inline distT="0" distB="0" distL="0" distR="0">
            <wp:extent cx="5760720" cy="3119219"/>
            <wp:effectExtent l="0" t="0" r="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119219"/>
                    </a:xfrm>
                    <a:prstGeom prst="rect">
                      <a:avLst/>
                    </a:prstGeom>
                    <a:noFill/>
                    <a:ln>
                      <a:noFill/>
                    </a:ln>
                  </pic:spPr>
                </pic:pic>
              </a:graphicData>
            </a:graphic>
          </wp:inline>
        </w:drawing>
      </w:r>
    </w:p>
    <w:p w:rsidR="00254378" w:rsidRPr="00254378" w:rsidRDefault="00254378" w:rsidP="00C20728">
      <w:pPr>
        <w:jc w:val="both"/>
        <w:rPr>
          <w:b/>
          <w:sz w:val="28"/>
          <w:szCs w:val="28"/>
        </w:rPr>
      </w:pPr>
      <w:r w:rsidRPr="00254378">
        <w:rPr>
          <w:b/>
          <w:sz w:val="28"/>
          <w:szCs w:val="28"/>
        </w:rPr>
        <w:t>Rys. 4: Wizualizacja stanowisk doświadczalnych</w:t>
      </w:r>
    </w:p>
    <w:p w:rsidR="00254378" w:rsidRDefault="00254378" w:rsidP="00C20728">
      <w:pPr>
        <w:jc w:val="both"/>
        <w:rPr>
          <w:b/>
          <w:sz w:val="28"/>
          <w:szCs w:val="28"/>
        </w:rPr>
      </w:pPr>
      <w:r w:rsidRPr="00254378">
        <w:rPr>
          <w:b/>
          <w:sz w:val="28"/>
          <w:szCs w:val="28"/>
        </w:rPr>
        <w:t>Źródło: Dokumentacja techniczno-projektowa</w:t>
      </w:r>
    </w:p>
    <w:p w:rsidR="00207FD0" w:rsidRPr="00254378" w:rsidRDefault="00207FD0" w:rsidP="00C20728">
      <w:pPr>
        <w:jc w:val="both"/>
        <w:rPr>
          <w:b/>
          <w:sz w:val="28"/>
          <w:szCs w:val="28"/>
        </w:rPr>
      </w:pPr>
    </w:p>
    <w:p w:rsidR="00254378" w:rsidRPr="00254378" w:rsidRDefault="00254378" w:rsidP="00C20728">
      <w:pPr>
        <w:jc w:val="both"/>
        <w:rPr>
          <w:b/>
          <w:sz w:val="28"/>
          <w:szCs w:val="28"/>
        </w:rPr>
      </w:pPr>
      <w:r w:rsidRPr="00254378">
        <w:rPr>
          <w:b/>
          <w:sz w:val="28"/>
          <w:szCs w:val="28"/>
        </w:rPr>
        <w:t>Instalacja autorska rekonstrukcji butelki lejdejskiej w przekroju</w:t>
      </w:r>
    </w:p>
    <w:p w:rsidR="00254378" w:rsidRDefault="00254378" w:rsidP="00C20728">
      <w:pPr>
        <w:jc w:val="both"/>
        <w:rPr>
          <w:b/>
          <w:sz w:val="28"/>
          <w:szCs w:val="28"/>
        </w:rPr>
      </w:pPr>
      <w:r w:rsidRPr="00254378">
        <w:rPr>
          <w:b/>
          <w:sz w:val="28"/>
          <w:szCs w:val="28"/>
        </w:rPr>
        <w:t xml:space="preserve">Naprzeciwko stanowisk doświadczalnych zaprojektowana została instalacja autorska, jako wielkogabarytowa rekonstrukcja butelki lejdejskiej w przekroju. Wykonana z giętego szkła będzie stanowić piękny element dekoracyjny, ale nie tylko. Wchodząc do butelki zwiedzający poznają warstwy, z jakich składała się pierwsza butelka lejdejska, jak również będą mogli odczuć na własnych dłoniach impuls elektryczny i przeskok iskry. Projektowana instalacja uruchomi się na czujnik ruchu, po wejściu osoby lub osób do jej wnętrza. W środku korka butelki zamocowany zostanie pręt podłączony do ukrytej maszyny elektrostatycznej. Zwiedzający po </w:t>
      </w:r>
      <w:r w:rsidRPr="00254378">
        <w:rPr>
          <w:b/>
          <w:sz w:val="28"/>
          <w:szCs w:val="28"/>
        </w:rPr>
        <w:lastRenderedPageBreak/>
        <w:t>dotknięciu go jedną ręką, a drugą do blachy zamocowanej po wewnętrznej stronie kopuły szklanej odczują przeskok iskry na blachę. Instalacja ta będzie odczuwalna i wizualnie atrakcyjna, oparta na bezpiecznym dla każdego zwiedzającego obiegu niskoprądowym (używanym w szkolnych, edukacyjnych pracowniach fizycznych).</w:t>
      </w:r>
    </w:p>
    <w:p w:rsidR="00207FD0" w:rsidRDefault="000962A4" w:rsidP="00C20728">
      <w:pPr>
        <w:jc w:val="both"/>
        <w:rPr>
          <w:b/>
          <w:sz w:val="28"/>
          <w:szCs w:val="28"/>
        </w:rPr>
      </w:pPr>
      <w:r w:rsidRPr="000962A4">
        <w:rPr>
          <w:b/>
          <w:noProof/>
          <w:sz w:val="28"/>
          <w:szCs w:val="28"/>
        </w:rPr>
        <w:drawing>
          <wp:inline distT="0" distB="0" distL="0" distR="0">
            <wp:extent cx="5210175" cy="302895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3028950"/>
                    </a:xfrm>
                    <a:prstGeom prst="rect">
                      <a:avLst/>
                    </a:prstGeom>
                    <a:noFill/>
                    <a:ln>
                      <a:noFill/>
                    </a:ln>
                  </pic:spPr>
                </pic:pic>
              </a:graphicData>
            </a:graphic>
          </wp:inline>
        </w:drawing>
      </w:r>
    </w:p>
    <w:p w:rsidR="00254378" w:rsidRPr="00254378" w:rsidRDefault="00254378" w:rsidP="00C20728">
      <w:pPr>
        <w:jc w:val="both"/>
        <w:rPr>
          <w:b/>
          <w:sz w:val="28"/>
          <w:szCs w:val="28"/>
        </w:rPr>
      </w:pPr>
      <w:r w:rsidRPr="00254378">
        <w:rPr>
          <w:b/>
          <w:sz w:val="28"/>
          <w:szCs w:val="28"/>
        </w:rPr>
        <w:t>Rys. 5: Wizualizacja instalacji autorskiej rekonstrukcji butelki lejdejskiej</w:t>
      </w:r>
    </w:p>
    <w:p w:rsidR="00254378" w:rsidRDefault="00254378" w:rsidP="00C20728">
      <w:pPr>
        <w:jc w:val="both"/>
        <w:rPr>
          <w:b/>
          <w:sz w:val="28"/>
          <w:szCs w:val="28"/>
        </w:rPr>
      </w:pPr>
      <w:r w:rsidRPr="00254378">
        <w:rPr>
          <w:b/>
          <w:sz w:val="28"/>
          <w:szCs w:val="28"/>
        </w:rPr>
        <w:t>Źródło: Dokumentacja techniczno-projektowa</w:t>
      </w:r>
    </w:p>
    <w:p w:rsidR="000962A4" w:rsidRPr="00254378" w:rsidRDefault="000962A4" w:rsidP="00C20728">
      <w:pPr>
        <w:jc w:val="both"/>
        <w:rPr>
          <w:b/>
          <w:sz w:val="28"/>
          <w:szCs w:val="28"/>
        </w:rPr>
      </w:pPr>
    </w:p>
    <w:p w:rsidR="00254378" w:rsidRDefault="00254378" w:rsidP="00C20728">
      <w:pPr>
        <w:jc w:val="both"/>
        <w:rPr>
          <w:b/>
          <w:sz w:val="28"/>
          <w:szCs w:val="28"/>
        </w:rPr>
      </w:pPr>
      <w:r w:rsidRPr="00254378">
        <w:rPr>
          <w:b/>
          <w:sz w:val="28"/>
          <w:szCs w:val="28"/>
        </w:rPr>
        <w:t>Kolejną instalacją zaprojektowaną w narożniku ekspozycji będzie stanowisko, które prezentuje jedno z najnowocześniejszych zastosowań kondensatora. Połączenie modułów interaktywnej podłogi, wieży energii oraz cewki Tesli dostarczy wielu wrażeń odbiorcom wystawy. Instalacja ta będzie angażować grupę zwiedzających, których zadaniem będzie wytworzenie nacisku na moduły umieszczone na podłodze poprzez podskakiwanie, przestępowanie z nogi na nogę, czy tańczenie. Powstające w ten sposób małe pionowe ruchy zostają przetworzone przez układ elektromechaniczny do ruchu obrotowego, który napędza generator. Wieża energii zainstalowana obok oraz wzrastające poziomy pasków LED w modułach podłogowych wizualizować będą ilość nagromadzanej energii wyprodukowanej przez zwiedzających, poruszających się na interaktywnych modułach podłogowych. Celem tej instalacji jest wprowadzenie działań w grupie oraz interakcji motorycznych dla zwizualizowania współczesnymi środkami kondensacji ładunków elektrycznych. Tak zgromadzona energia użyta zostanie do uruchomienia generatora Tesli zamontowanego pod sufitem. Finalnie będzie widoczny piorunujący efekt, w postaci różnej długości błyskawic wydobywających się z torusa. Na ścianach przy narożniku tej instalacji umieszczone zostaną właściwości kondensatorów oraz ich rodzaje.</w:t>
      </w:r>
    </w:p>
    <w:p w:rsidR="000962A4" w:rsidRPr="00254378" w:rsidRDefault="008E6BC8" w:rsidP="00C20728">
      <w:pPr>
        <w:jc w:val="both"/>
        <w:rPr>
          <w:b/>
          <w:sz w:val="28"/>
          <w:szCs w:val="28"/>
        </w:rPr>
      </w:pPr>
      <w:r w:rsidRPr="008E6BC8">
        <w:rPr>
          <w:b/>
          <w:noProof/>
          <w:sz w:val="28"/>
          <w:szCs w:val="28"/>
        </w:rPr>
        <w:drawing>
          <wp:inline distT="0" distB="0" distL="0" distR="0">
            <wp:extent cx="3076575" cy="434340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6575" cy="4343400"/>
                    </a:xfrm>
                    <a:prstGeom prst="rect">
                      <a:avLst/>
                    </a:prstGeom>
                    <a:noFill/>
                    <a:ln>
                      <a:noFill/>
                    </a:ln>
                  </pic:spPr>
                </pic:pic>
              </a:graphicData>
            </a:graphic>
          </wp:inline>
        </w:drawing>
      </w:r>
    </w:p>
    <w:p w:rsidR="00254378" w:rsidRPr="00254378" w:rsidRDefault="00254378" w:rsidP="00C20728">
      <w:pPr>
        <w:jc w:val="both"/>
        <w:rPr>
          <w:b/>
          <w:sz w:val="28"/>
          <w:szCs w:val="28"/>
        </w:rPr>
      </w:pPr>
      <w:r w:rsidRPr="00254378">
        <w:rPr>
          <w:b/>
          <w:sz w:val="28"/>
          <w:szCs w:val="28"/>
        </w:rPr>
        <w:t>Rys. 6: Wizualizacja instalacji sensomotorycznej zastosowania kondensatora</w:t>
      </w:r>
    </w:p>
    <w:p w:rsidR="00254378" w:rsidRDefault="00254378" w:rsidP="00C20728">
      <w:pPr>
        <w:jc w:val="both"/>
        <w:rPr>
          <w:b/>
          <w:sz w:val="28"/>
          <w:szCs w:val="28"/>
        </w:rPr>
      </w:pPr>
      <w:r w:rsidRPr="00254378">
        <w:rPr>
          <w:b/>
          <w:sz w:val="28"/>
          <w:szCs w:val="28"/>
        </w:rPr>
        <w:t>Źródło: Dokumentacja techniczno-projektowa</w:t>
      </w:r>
    </w:p>
    <w:p w:rsidR="00051FD2" w:rsidRPr="00254378" w:rsidRDefault="00051FD2" w:rsidP="00C20728">
      <w:pPr>
        <w:jc w:val="both"/>
        <w:rPr>
          <w:b/>
          <w:sz w:val="28"/>
          <w:szCs w:val="28"/>
        </w:rPr>
      </w:pPr>
    </w:p>
    <w:p w:rsidR="00254378" w:rsidRDefault="00254378" w:rsidP="00C20728">
      <w:pPr>
        <w:jc w:val="both"/>
        <w:rPr>
          <w:b/>
          <w:sz w:val="28"/>
          <w:szCs w:val="28"/>
        </w:rPr>
      </w:pPr>
      <w:r w:rsidRPr="00254378">
        <w:rPr>
          <w:b/>
          <w:sz w:val="28"/>
          <w:szCs w:val="28"/>
        </w:rPr>
        <w:t>Instalacja „piorun” z doświadczeniem B. Franklina</w:t>
      </w:r>
    </w:p>
    <w:p w:rsidR="00254378" w:rsidRPr="00254378" w:rsidRDefault="00254378" w:rsidP="00C20728">
      <w:pPr>
        <w:jc w:val="both"/>
        <w:rPr>
          <w:b/>
          <w:sz w:val="28"/>
          <w:szCs w:val="28"/>
        </w:rPr>
      </w:pPr>
      <w:r w:rsidRPr="00254378">
        <w:rPr>
          <w:b/>
          <w:sz w:val="28"/>
          <w:szCs w:val="28"/>
        </w:rPr>
        <w:t>Zmierzając w kierunku wyjścia znajdziemy się w części poświęconej Benjaminowi Franklinowi. Zwiedzający wchodząc w tę przestrzeń rozpętają „mini-burzę” nad swoimi głowami, uruchamianą przez czujnik ruchu. Gdy jeden z piorunów,</w:t>
      </w:r>
      <w:r w:rsidR="008E6BC8">
        <w:rPr>
          <w:b/>
          <w:sz w:val="28"/>
          <w:szCs w:val="28"/>
        </w:rPr>
        <w:t xml:space="preserve"> </w:t>
      </w:r>
      <w:r w:rsidRPr="00254378">
        <w:rPr>
          <w:b/>
          <w:sz w:val="28"/>
          <w:szCs w:val="28"/>
        </w:rPr>
        <w:t>przedstawionych na suficie za pomocą pasów LED-owych, przemieści się na ścianę, poznamy eksperyment, który przeprowadził Benjamin Franklin przy użyciu latawca i butelki lejdejskiej. Tego typu pokazy powodowały powszechne zainteresowanie elektrycznością i inspirowały badaczy do następnych doświadczeń. Benjamin Franklin zauważył podobieństwo iskier z butelki lejdejskiej do błyskawic, co podsunęło mu pomysł budowy piorunochronu. Ponadto, jako jeden z pierwszych odkrył, że istnieją 2 rodzaje ładunków elektrycznych i nadał im nazwy: ładunki dodatnie (+) i ładunki ujemne (-). W ślad za badaniami jakościowymi rozpoczęto też badania ilościowe, które doprowadziły do sformułowania matematycznego wzoru na przepływ prądu. Na pełen matematyczny opis zjawisk elektromagnetycznych oraz ich dokładniejsze zrozumienie trzeba było jednak poczekać jeszcze 150 lat.</w:t>
      </w:r>
    </w:p>
    <w:p w:rsidR="00254378" w:rsidRPr="00254378" w:rsidRDefault="00254378" w:rsidP="00C20728">
      <w:pPr>
        <w:jc w:val="both"/>
        <w:rPr>
          <w:b/>
          <w:sz w:val="28"/>
          <w:szCs w:val="28"/>
        </w:rPr>
      </w:pPr>
      <w:r w:rsidRPr="00254378">
        <w:rPr>
          <w:b/>
          <w:sz w:val="28"/>
          <w:szCs w:val="28"/>
        </w:rPr>
        <w:t>Końcowa część ekspozycji poświęcona będzie skutkom wynalezienia butelki lejdejskiej, czyli najprostszego kondensatora. Ponieważ są one dalekosiężne i trudne do przecenienia, a przez to również trudne do opisania i zaprezentowania w tak małej przestrzeni, ograniczymy się do najważniejszych informacji skondensowanych „w pigułce”. Zostaną one przedstawione podczas specjalnej projekcji na folii projekcyjnej oraz za pomocą ekspozycji naściennej kilku wybranych przykładów współczesnych kondensatorów: od najmniejszych, wielkości główki od szpilki, po duży kondensator elektrolityczny - zwiedzający wystawę będą mogli ich dotknąć.</w:t>
      </w:r>
    </w:p>
    <w:p w:rsidR="00254378" w:rsidRPr="00254378" w:rsidRDefault="00254378" w:rsidP="00C20728">
      <w:pPr>
        <w:jc w:val="both"/>
        <w:rPr>
          <w:b/>
          <w:sz w:val="28"/>
          <w:szCs w:val="28"/>
        </w:rPr>
      </w:pPr>
      <w:r w:rsidRPr="00254378">
        <w:rPr>
          <w:b/>
          <w:sz w:val="28"/>
          <w:szCs w:val="28"/>
        </w:rPr>
        <w:t xml:space="preserve">Instalacja z generatorem van de </w:t>
      </w:r>
      <w:proofErr w:type="spellStart"/>
      <w:r w:rsidRPr="00254378">
        <w:rPr>
          <w:b/>
          <w:sz w:val="28"/>
          <w:szCs w:val="28"/>
        </w:rPr>
        <w:t>Graaffa</w:t>
      </w:r>
      <w:proofErr w:type="spellEnd"/>
    </w:p>
    <w:p w:rsidR="00254378" w:rsidRPr="00254378" w:rsidRDefault="00254378" w:rsidP="00C20728">
      <w:pPr>
        <w:jc w:val="both"/>
        <w:rPr>
          <w:b/>
          <w:sz w:val="28"/>
          <w:szCs w:val="28"/>
        </w:rPr>
      </w:pPr>
      <w:r w:rsidRPr="00254378">
        <w:rPr>
          <w:b/>
          <w:sz w:val="28"/>
          <w:szCs w:val="28"/>
        </w:rPr>
        <w:t xml:space="preserve">Ostatnim, ale nie mniej efektownym elementem wystawy będzie generator Van de </w:t>
      </w:r>
      <w:proofErr w:type="spellStart"/>
      <w:r w:rsidRPr="00254378">
        <w:rPr>
          <w:b/>
          <w:sz w:val="28"/>
          <w:szCs w:val="28"/>
        </w:rPr>
        <w:t>Graaffa</w:t>
      </w:r>
      <w:proofErr w:type="spellEnd"/>
      <w:r w:rsidRPr="00254378">
        <w:rPr>
          <w:b/>
          <w:sz w:val="28"/>
          <w:szCs w:val="28"/>
        </w:rPr>
        <w:t>. Jest to następca maszyny elektrostatycznej - urządzenie służące do gromadzenia ładunków elektrostatycznych. Umożliwia ono przeprowadzenie bardziej spektakularnych eksperymentów, dzięki magazynowaniu większych wartości tychże ładunków. Tutaj wystarczy, że zwiedzający położy dłoń na czaszy generatora, aby po chwili zaczęły unosić mu się włosy. Na ścianie obok urządzenia zaproponowaliśmy lustro, tak aby każdy mógł zobaczyć ten spowodowany dotknięciem generatora efekt i następnie zrobić sobie zdjęcie.</w:t>
      </w:r>
    </w:p>
    <w:p w:rsidR="008E6BC8" w:rsidRDefault="0082580E" w:rsidP="00C20728">
      <w:pPr>
        <w:jc w:val="both"/>
        <w:rPr>
          <w:b/>
          <w:sz w:val="28"/>
          <w:szCs w:val="28"/>
        </w:rPr>
      </w:pPr>
      <w:r w:rsidRPr="0082580E">
        <w:rPr>
          <w:b/>
          <w:noProof/>
          <w:sz w:val="28"/>
          <w:szCs w:val="28"/>
        </w:rPr>
        <w:drawing>
          <wp:inline distT="0" distB="0" distL="0" distR="0">
            <wp:extent cx="3533775" cy="2352675"/>
            <wp:effectExtent l="0" t="0" r="9525"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3775" cy="2352675"/>
                    </a:xfrm>
                    <a:prstGeom prst="rect">
                      <a:avLst/>
                    </a:prstGeom>
                    <a:noFill/>
                    <a:ln>
                      <a:noFill/>
                    </a:ln>
                  </pic:spPr>
                </pic:pic>
              </a:graphicData>
            </a:graphic>
          </wp:inline>
        </w:drawing>
      </w:r>
    </w:p>
    <w:p w:rsidR="00254378" w:rsidRPr="00254378" w:rsidRDefault="00254378" w:rsidP="00C20728">
      <w:pPr>
        <w:jc w:val="both"/>
        <w:rPr>
          <w:b/>
          <w:sz w:val="28"/>
          <w:szCs w:val="28"/>
        </w:rPr>
      </w:pPr>
      <w:r w:rsidRPr="00254378">
        <w:rPr>
          <w:b/>
          <w:sz w:val="28"/>
          <w:szCs w:val="28"/>
        </w:rPr>
        <w:t xml:space="preserve">Rys. 7: Wizualizacja instalacji z generatorem van de </w:t>
      </w:r>
      <w:proofErr w:type="spellStart"/>
      <w:r w:rsidRPr="00254378">
        <w:rPr>
          <w:b/>
          <w:sz w:val="28"/>
          <w:szCs w:val="28"/>
        </w:rPr>
        <w:t>Graaffa</w:t>
      </w:r>
      <w:proofErr w:type="spellEnd"/>
    </w:p>
    <w:p w:rsidR="00254378" w:rsidRPr="00254378" w:rsidRDefault="00254378" w:rsidP="00C20728">
      <w:pPr>
        <w:jc w:val="both"/>
        <w:rPr>
          <w:b/>
          <w:sz w:val="28"/>
          <w:szCs w:val="28"/>
        </w:rPr>
      </w:pPr>
      <w:r w:rsidRPr="00254378">
        <w:rPr>
          <w:b/>
          <w:sz w:val="28"/>
          <w:szCs w:val="28"/>
        </w:rPr>
        <w:t>Źródło: Dokumentacja techniczno-projektowa</w:t>
      </w:r>
    </w:p>
    <w:p w:rsidR="008E6BC8" w:rsidRPr="00254378" w:rsidRDefault="008E6BC8" w:rsidP="00C20728">
      <w:pPr>
        <w:jc w:val="both"/>
        <w:rPr>
          <w:b/>
          <w:sz w:val="28"/>
          <w:szCs w:val="28"/>
        </w:rPr>
      </w:pPr>
    </w:p>
    <w:p w:rsidR="00254378" w:rsidRPr="00254378" w:rsidRDefault="00254378" w:rsidP="00C20728">
      <w:pPr>
        <w:jc w:val="both"/>
        <w:rPr>
          <w:b/>
          <w:sz w:val="28"/>
          <w:szCs w:val="28"/>
        </w:rPr>
      </w:pPr>
      <w:r w:rsidRPr="00254378">
        <w:rPr>
          <w:b/>
          <w:sz w:val="28"/>
          <w:szCs w:val="28"/>
        </w:rPr>
        <w:t>Strategia edukacyjna opierać się będzie na wyszczególnieniu kilku zasadniczych obszarów aktywności:</w:t>
      </w:r>
    </w:p>
    <w:p w:rsidR="00254378" w:rsidRPr="00254378" w:rsidRDefault="00254378" w:rsidP="00C20728">
      <w:pPr>
        <w:jc w:val="both"/>
        <w:rPr>
          <w:b/>
          <w:sz w:val="28"/>
          <w:szCs w:val="28"/>
        </w:rPr>
      </w:pPr>
      <w:r w:rsidRPr="00254378">
        <w:rPr>
          <w:b/>
          <w:sz w:val="28"/>
          <w:szCs w:val="28"/>
        </w:rPr>
        <w:t xml:space="preserve">1. Oznaczenie treści edukacyjnych w przestrzeni całej wystawy i związanie ich z określoną grupą docelową (podział ze względu na wiek lub rodzaj i stopień dysfunkcyjności osób niepełnosprawnych), przy czym istotne jest zwrócenie uwagi zwiedzających z dysfunkcjami na wyłączenie w czasie zwiedzania aparatów medycznych wspierających, np. aparatów słuchowych, zaś korzystanie z </w:t>
      </w:r>
      <w:proofErr w:type="spellStart"/>
      <w:r w:rsidRPr="00254378">
        <w:rPr>
          <w:b/>
          <w:sz w:val="28"/>
          <w:szCs w:val="28"/>
        </w:rPr>
        <w:t>videoprzewodnika</w:t>
      </w:r>
      <w:proofErr w:type="spellEnd"/>
      <w:r w:rsidRPr="00254378">
        <w:rPr>
          <w:b/>
          <w:sz w:val="28"/>
          <w:szCs w:val="28"/>
        </w:rPr>
        <w:t xml:space="preserve"> udostępnianego przez Muzeum.</w:t>
      </w:r>
    </w:p>
    <w:p w:rsidR="00254378" w:rsidRPr="00254378" w:rsidRDefault="00254378" w:rsidP="00C20728">
      <w:pPr>
        <w:jc w:val="both"/>
        <w:rPr>
          <w:b/>
          <w:sz w:val="28"/>
          <w:szCs w:val="28"/>
        </w:rPr>
      </w:pPr>
      <w:r w:rsidRPr="00254378">
        <w:rPr>
          <w:b/>
          <w:sz w:val="28"/>
          <w:szCs w:val="28"/>
        </w:rPr>
        <w:t>2. Sformułowanie określonych założeń prezentacji multimedialnych oraz ich specyfiki, a także jakości użytego sprzętu multimedialnego, z możliwością jego wykorzystania w ramach działań edukacyjnych. W tym celu m.in. przewiduje się profilowanie przekazu i poziomów trudności w prezentacjach na urządzeniach dotykowych, w odniesieniu do planowanych ścieżek edukacyjnych.</w:t>
      </w:r>
    </w:p>
    <w:p w:rsidR="00254378" w:rsidRPr="00254378" w:rsidRDefault="00254378" w:rsidP="00C20728">
      <w:pPr>
        <w:jc w:val="both"/>
        <w:rPr>
          <w:b/>
          <w:sz w:val="28"/>
          <w:szCs w:val="28"/>
        </w:rPr>
      </w:pPr>
      <w:r w:rsidRPr="00254378">
        <w:rPr>
          <w:b/>
          <w:sz w:val="28"/>
          <w:szCs w:val="28"/>
        </w:rPr>
        <w:t>3. Stworzenie przestrzeni edukacyjnych przeznaczonych do różnych działań motorycznych i sensomotorycznych: stanowisko historyczne odtwarzające doświadczenie Graya, stanowiska doświadczalne przy stole edukacyjnym, instalacja autorska powiększonej butelki lejdejskiej w przekroju, panele podłogowe do magazynowania energii,</w:t>
      </w:r>
      <w:r w:rsidR="0082580E">
        <w:rPr>
          <w:b/>
          <w:sz w:val="28"/>
          <w:szCs w:val="28"/>
        </w:rPr>
        <w:t xml:space="preserve"> </w:t>
      </w:r>
      <w:r w:rsidRPr="00254378">
        <w:rPr>
          <w:b/>
          <w:sz w:val="28"/>
          <w:szCs w:val="28"/>
        </w:rPr>
        <w:t xml:space="preserve">angażujące zwiedzających do skakania, generator Van de </w:t>
      </w:r>
      <w:proofErr w:type="spellStart"/>
      <w:r w:rsidRPr="00254378">
        <w:rPr>
          <w:b/>
          <w:sz w:val="28"/>
          <w:szCs w:val="28"/>
        </w:rPr>
        <w:t>Graaffa</w:t>
      </w:r>
      <w:proofErr w:type="spellEnd"/>
      <w:r w:rsidRPr="00254378">
        <w:rPr>
          <w:b/>
          <w:sz w:val="28"/>
          <w:szCs w:val="28"/>
        </w:rPr>
        <w:t xml:space="preserve"> do elektryzowania np. włosów,</w:t>
      </w:r>
    </w:p>
    <w:p w:rsidR="00254378" w:rsidRPr="00254378" w:rsidRDefault="00254378" w:rsidP="00C20728">
      <w:pPr>
        <w:jc w:val="both"/>
        <w:rPr>
          <w:b/>
          <w:sz w:val="28"/>
          <w:szCs w:val="28"/>
        </w:rPr>
      </w:pPr>
      <w:r w:rsidRPr="00254378">
        <w:rPr>
          <w:b/>
          <w:sz w:val="28"/>
          <w:szCs w:val="28"/>
        </w:rPr>
        <w:t>4. Stworzenie projektu edukacji i animacji kultury związanej z ekspozycją i rozszerzającej jej zagadnienia (wstępne założenia i propozycje warsztatów, projektów edukacyjnych i kulturalnych). W ramach ekspozycji zostanie zbudowana przestrzeń służąca do edukacji opartej na działaniu, także działaniu w grupie. Planowane stanowiska doświadczalne wykorzystywać będą możliwości fizyczne i motoryczne dzieci i dorosłych, angażując zwiedzających w procesy poznawcze.</w:t>
      </w:r>
    </w:p>
    <w:p w:rsidR="00254378" w:rsidRPr="00254378" w:rsidRDefault="00254378" w:rsidP="00C20728">
      <w:pPr>
        <w:jc w:val="both"/>
        <w:rPr>
          <w:b/>
          <w:sz w:val="28"/>
          <w:szCs w:val="28"/>
        </w:rPr>
      </w:pPr>
      <w:r w:rsidRPr="00254378">
        <w:rPr>
          <w:b/>
          <w:sz w:val="28"/>
          <w:szCs w:val="28"/>
        </w:rPr>
        <w:t>Ścieżki edukacyjne – oznaczenie w przestrzeni wystawy oraz w multimediach</w:t>
      </w:r>
    </w:p>
    <w:p w:rsidR="00254378" w:rsidRPr="00254378" w:rsidRDefault="00254378" w:rsidP="00C20728">
      <w:pPr>
        <w:jc w:val="both"/>
        <w:rPr>
          <w:b/>
          <w:sz w:val="28"/>
          <w:szCs w:val="28"/>
        </w:rPr>
      </w:pPr>
      <w:r w:rsidRPr="00254378">
        <w:rPr>
          <w:b/>
          <w:sz w:val="28"/>
          <w:szCs w:val="28"/>
        </w:rPr>
        <w:t>W przestrzeni wystawy zorganizowane zostaną następujące ścieżki edukacyjne:</w:t>
      </w:r>
    </w:p>
    <w:p w:rsidR="00254378" w:rsidRPr="00254378" w:rsidRDefault="00254378" w:rsidP="00C20728">
      <w:pPr>
        <w:jc w:val="both"/>
        <w:rPr>
          <w:b/>
          <w:sz w:val="28"/>
          <w:szCs w:val="28"/>
        </w:rPr>
      </w:pPr>
      <w:r w:rsidRPr="00254378">
        <w:rPr>
          <w:b/>
          <w:sz w:val="28"/>
          <w:szCs w:val="28"/>
        </w:rPr>
        <w:t>I. Pierwsza ścieżka, dla najmłodszych zwiedzających, oznaczona np. pomarańczowymi symbolami, dotycząca przedszkolnej i wczesnoszkolnej podstawy programowej, związana będzie z poznawaniem nazw obiektów i urządzeń, ich funkcji, ikonografii. Będzie ona realizowana za sprawą działań i narracji w formie rysunkowej, komiksowej oraz edukacji w postaci gier i zabaw. Jej realizacja odbywać się może przede wszystkim w obszarze edukacyjnych warsztatów i stanowisk doświadczalnych, za sprawą odpowiednio dostosowanych zadań na dotykowych urządzeniach multimedialnych i elektrostatycznych.</w:t>
      </w:r>
    </w:p>
    <w:p w:rsidR="00254378" w:rsidRPr="00254378" w:rsidRDefault="00254378" w:rsidP="00C20728">
      <w:pPr>
        <w:jc w:val="both"/>
        <w:rPr>
          <w:b/>
          <w:sz w:val="28"/>
          <w:szCs w:val="28"/>
        </w:rPr>
      </w:pPr>
      <w:r w:rsidRPr="00254378">
        <w:rPr>
          <w:b/>
          <w:sz w:val="28"/>
          <w:szCs w:val="28"/>
        </w:rPr>
        <w:t>II. Druga ścieżka przeznaczona zostanie dla dzieci starszych, w wieku szkolnym. Powinna się opierać przede wszystkim na realizacji nieco trudniejszych zadań oraz stanowisk edukacyjnych, z bardziej skomplikowanymi regułami. Bazować będzie na podstawie programowej gimnazjum i liceum. Jej realizacja odbywać się będzie w obszarze edukacyjnych warsztatów i stanowisk doświadczalnych, instalacji autorskich oraz za sprawą odpowiednio dostosowanych zadań, o wyższym stopniu trudności, na dotykowych urządzeniach multimedialnych i elektrostatycznych. Dodatkowo ścieżka ta może być rozwinięta poprzez warstwę informacji możliwych do odkodowania dzięki przenośnym urządzeniom do odczytywania kodów QR. Ścieżka zostanie oznaczona np. niebieskimi symbolami.</w:t>
      </w:r>
    </w:p>
    <w:p w:rsidR="00254378" w:rsidRPr="00254378" w:rsidRDefault="00254378" w:rsidP="00C20728">
      <w:pPr>
        <w:jc w:val="both"/>
        <w:rPr>
          <w:b/>
          <w:sz w:val="28"/>
          <w:szCs w:val="28"/>
        </w:rPr>
      </w:pPr>
      <w:r w:rsidRPr="00254378">
        <w:rPr>
          <w:b/>
          <w:sz w:val="28"/>
          <w:szCs w:val="28"/>
        </w:rPr>
        <w:t>III. Trzecia ścieżka edukacyjna przeznaczona będzie dla studentów i osób dorosłych. Tutaj zaprezentowane zostaną treści najbardziej skomplikowane, posiadające sporo odniesień i kontekstów kulturowych, historycznych, a także naukowych. Realizacja tych zadań edukacyjnych będzie także wymagała posiadania określonego poziomu wiedzy historycznej lub technicznej (np. z zakresu fizyki). Powinna opierać się na podstawie programowej studiów wyższych. Może zostać oznaczona symbolami fioletowymi.</w:t>
      </w:r>
    </w:p>
    <w:p w:rsidR="00254378" w:rsidRDefault="00254378" w:rsidP="00C20728">
      <w:pPr>
        <w:jc w:val="both"/>
        <w:rPr>
          <w:b/>
          <w:sz w:val="28"/>
          <w:szCs w:val="28"/>
        </w:rPr>
      </w:pPr>
      <w:r w:rsidRPr="00254378">
        <w:rPr>
          <w:b/>
          <w:sz w:val="28"/>
          <w:szCs w:val="28"/>
        </w:rPr>
        <w:t xml:space="preserve">IV. Czwarta ścieżka - zostanie oznaczona graficznymi symbolami specjalnymi dla osób z dysfunkcją wzroku i słuchu. Przewiduje się jej narrację w formie m.in. </w:t>
      </w:r>
      <w:proofErr w:type="spellStart"/>
      <w:r w:rsidRPr="00254378">
        <w:rPr>
          <w:b/>
          <w:sz w:val="28"/>
          <w:szCs w:val="28"/>
        </w:rPr>
        <w:t>videoprzewodnika</w:t>
      </w:r>
      <w:proofErr w:type="spellEnd"/>
      <w:r w:rsidRPr="00254378">
        <w:rPr>
          <w:b/>
          <w:sz w:val="28"/>
          <w:szCs w:val="28"/>
        </w:rPr>
        <w:t xml:space="preserve"> oraz specjalnych punktów opisanych alfabetem Braille'a w przestrzeni wystawy.</w:t>
      </w:r>
    </w:p>
    <w:p w:rsidR="0082580E" w:rsidRDefault="001A10B6" w:rsidP="00C20728">
      <w:pPr>
        <w:jc w:val="both"/>
        <w:rPr>
          <w:b/>
          <w:sz w:val="28"/>
          <w:szCs w:val="28"/>
        </w:rPr>
      </w:pPr>
      <w:r w:rsidRPr="001A10B6">
        <w:rPr>
          <w:b/>
          <w:noProof/>
          <w:sz w:val="28"/>
          <w:szCs w:val="28"/>
        </w:rPr>
        <w:drawing>
          <wp:inline distT="0" distB="0" distL="0" distR="0">
            <wp:extent cx="5760720" cy="4120859"/>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120859"/>
                    </a:xfrm>
                    <a:prstGeom prst="rect">
                      <a:avLst/>
                    </a:prstGeom>
                    <a:noFill/>
                    <a:ln>
                      <a:noFill/>
                    </a:ln>
                  </pic:spPr>
                </pic:pic>
              </a:graphicData>
            </a:graphic>
          </wp:inline>
        </w:drawing>
      </w:r>
    </w:p>
    <w:p w:rsidR="0082580E" w:rsidRPr="00254378" w:rsidRDefault="0082580E" w:rsidP="00C20728">
      <w:pPr>
        <w:jc w:val="both"/>
        <w:rPr>
          <w:b/>
          <w:sz w:val="28"/>
          <w:szCs w:val="28"/>
        </w:rPr>
      </w:pPr>
    </w:p>
    <w:p w:rsidR="00254378" w:rsidRPr="00254378" w:rsidRDefault="00254378" w:rsidP="00C20728">
      <w:pPr>
        <w:jc w:val="both"/>
        <w:rPr>
          <w:b/>
          <w:sz w:val="28"/>
          <w:szCs w:val="28"/>
        </w:rPr>
      </w:pPr>
      <w:r w:rsidRPr="00254378">
        <w:rPr>
          <w:b/>
          <w:sz w:val="28"/>
          <w:szCs w:val="28"/>
        </w:rPr>
        <w:t>Rys. 8: Rzut z rozmieszczeniem tematyki na drodze zwiedzania</w:t>
      </w:r>
    </w:p>
    <w:p w:rsidR="00254378" w:rsidRDefault="00254378" w:rsidP="00C20728">
      <w:pPr>
        <w:jc w:val="both"/>
        <w:rPr>
          <w:b/>
          <w:sz w:val="28"/>
          <w:szCs w:val="28"/>
        </w:rPr>
      </w:pPr>
      <w:r w:rsidRPr="00254378">
        <w:rPr>
          <w:b/>
          <w:sz w:val="28"/>
          <w:szCs w:val="28"/>
        </w:rPr>
        <w:t>Źródło: Dokumentacja techniczno-projektowa</w:t>
      </w:r>
    </w:p>
    <w:p w:rsidR="001A10B6" w:rsidRPr="00254378" w:rsidRDefault="001A10B6" w:rsidP="00C20728">
      <w:pPr>
        <w:jc w:val="both"/>
        <w:rPr>
          <w:b/>
          <w:sz w:val="28"/>
          <w:szCs w:val="28"/>
        </w:rPr>
      </w:pPr>
    </w:p>
    <w:p w:rsidR="00254378" w:rsidRPr="001D3F20" w:rsidRDefault="00254378" w:rsidP="00C20728">
      <w:pPr>
        <w:jc w:val="both"/>
        <w:rPr>
          <w:b/>
          <w:color w:val="C00000"/>
          <w:sz w:val="28"/>
          <w:szCs w:val="28"/>
        </w:rPr>
      </w:pPr>
      <w:r w:rsidRPr="001D3F20">
        <w:rPr>
          <w:b/>
          <w:color w:val="C00000"/>
          <w:sz w:val="28"/>
          <w:szCs w:val="28"/>
        </w:rPr>
        <w:t>DWOREK VON KLEISTA</w:t>
      </w:r>
    </w:p>
    <w:p w:rsidR="001A10B6" w:rsidRPr="00254378" w:rsidRDefault="001A10B6" w:rsidP="00C20728">
      <w:pPr>
        <w:jc w:val="both"/>
        <w:rPr>
          <w:b/>
          <w:sz w:val="28"/>
          <w:szCs w:val="28"/>
        </w:rPr>
      </w:pPr>
    </w:p>
    <w:p w:rsidR="00254378" w:rsidRPr="00254378" w:rsidRDefault="00254378" w:rsidP="00C20728">
      <w:pPr>
        <w:jc w:val="both"/>
        <w:rPr>
          <w:b/>
          <w:sz w:val="28"/>
          <w:szCs w:val="28"/>
        </w:rPr>
      </w:pPr>
      <w:r w:rsidRPr="00254378">
        <w:rPr>
          <w:b/>
          <w:sz w:val="28"/>
          <w:szCs w:val="28"/>
        </w:rPr>
        <w:t>Założenia ogólne</w:t>
      </w:r>
    </w:p>
    <w:p w:rsidR="00254378" w:rsidRDefault="00254378" w:rsidP="00C20728">
      <w:pPr>
        <w:jc w:val="both"/>
        <w:rPr>
          <w:b/>
          <w:sz w:val="28"/>
          <w:szCs w:val="28"/>
        </w:rPr>
      </w:pPr>
      <w:r w:rsidRPr="00254378">
        <w:rPr>
          <w:b/>
          <w:sz w:val="28"/>
          <w:szCs w:val="28"/>
        </w:rPr>
        <w:t>Aktualnie, obiekt Dworku jest nieużytkowany. Zrekonstruowany oraz dostosowany do nowych funkcji zabytkowy obiekt Kurii Dziekana obejmować będzie następujące pomieszczenia, związane z nowo powstałym produktem turystycznym:</w:t>
      </w:r>
    </w:p>
    <w:p w:rsidR="00254378" w:rsidRPr="00254378" w:rsidRDefault="00254378" w:rsidP="00C20728">
      <w:pPr>
        <w:jc w:val="both"/>
        <w:rPr>
          <w:b/>
          <w:sz w:val="28"/>
          <w:szCs w:val="28"/>
        </w:rPr>
      </w:pPr>
      <w:r w:rsidRPr="00254378">
        <w:rPr>
          <w:b/>
          <w:sz w:val="28"/>
          <w:szCs w:val="28"/>
        </w:rPr>
        <w:t>Salka konferencyjna z zapleczem</w:t>
      </w:r>
    </w:p>
    <w:p w:rsidR="00254378" w:rsidRPr="00254378" w:rsidRDefault="00254378" w:rsidP="00C20728">
      <w:pPr>
        <w:jc w:val="both"/>
        <w:rPr>
          <w:b/>
          <w:sz w:val="28"/>
          <w:szCs w:val="28"/>
        </w:rPr>
      </w:pPr>
      <w:r w:rsidRPr="00254378">
        <w:rPr>
          <w:b/>
          <w:sz w:val="28"/>
          <w:szCs w:val="28"/>
        </w:rPr>
        <w:t>Sanitariaty (dostosowane do potrzeb osób z niepełnosprawnościami)</w:t>
      </w:r>
    </w:p>
    <w:p w:rsidR="00254378" w:rsidRPr="00254378" w:rsidRDefault="00254378" w:rsidP="00C20728">
      <w:pPr>
        <w:jc w:val="both"/>
        <w:rPr>
          <w:b/>
          <w:sz w:val="28"/>
          <w:szCs w:val="28"/>
        </w:rPr>
      </w:pPr>
      <w:r w:rsidRPr="00254378">
        <w:rPr>
          <w:b/>
          <w:sz w:val="28"/>
          <w:szCs w:val="28"/>
        </w:rPr>
        <w:t>Hol wejściowy / centrum informacji turystycznej</w:t>
      </w:r>
    </w:p>
    <w:p w:rsidR="00254378" w:rsidRPr="00254378" w:rsidRDefault="00254378" w:rsidP="00C20728">
      <w:pPr>
        <w:jc w:val="both"/>
        <w:rPr>
          <w:b/>
          <w:sz w:val="28"/>
          <w:szCs w:val="28"/>
        </w:rPr>
      </w:pPr>
      <w:r w:rsidRPr="00254378">
        <w:rPr>
          <w:b/>
          <w:sz w:val="28"/>
          <w:szCs w:val="28"/>
        </w:rPr>
        <w:t>Ekspozycja stanowiska archeologicznego</w:t>
      </w:r>
    </w:p>
    <w:p w:rsidR="00254378" w:rsidRPr="00254378" w:rsidRDefault="00254378" w:rsidP="00C20728">
      <w:pPr>
        <w:jc w:val="both"/>
        <w:rPr>
          <w:b/>
          <w:sz w:val="28"/>
          <w:szCs w:val="28"/>
        </w:rPr>
      </w:pPr>
      <w:r w:rsidRPr="00254378">
        <w:rPr>
          <w:b/>
          <w:sz w:val="28"/>
          <w:szCs w:val="28"/>
        </w:rPr>
        <w:t>Laboratorium von Kleista</w:t>
      </w:r>
    </w:p>
    <w:p w:rsidR="00254378" w:rsidRPr="00254378" w:rsidRDefault="00254378" w:rsidP="00C20728">
      <w:pPr>
        <w:jc w:val="both"/>
        <w:rPr>
          <w:b/>
          <w:sz w:val="28"/>
          <w:szCs w:val="28"/>
        </w:rPr>
      </w:pPr>
      <w:r w:rsidRPr="00254378">
        <w:rPr>
          <w:b/>
          <w:sz w:val="28"/>
          <w:szCs w:val="28"/>
        </w:rPr>
        <w:t>Pokój z epoki</w:t>
      </w:r>
    </w:p>
    <w:p w:rsidR="00254378" w:rsidRPr="00254378" w:rsidRDefault="00254378" w:rsidP="00C20728">
      <w:pPr>
        <w:jc w:val="both"/>
        <w:rPr>
          <w:b/>
          <w:sz w:val="28"/>
          <w:szCs w:val="28"/>
        </w:rPr>
      </w:pPr>
      <w:r w:rsidRPr="00254378">
        <w:rPr>
          <w:b/>
          <w:sz w:val="28"/>
          <w:szCs w:val="28"/>
        </w:rPr>
        <w:t>Centrum Informacji Turystycznej</w:t>
      </w:r>
    </w:p>
    <w:p w:rsidR="00254378" w:rsidRPr="00254378" w:rsidRDefault="00254378" w:rsidP="00C20728">
      <w:pPr>
        <w:jc w:val="both"/>
        <w:rPr>
          <w:b/>
          <w:sz w:val="28"/>
          <w:szCs w:val="28"/>
        </w:rPr>
      </w:pPr>
      <w:r w:rsidRPr="00254378">
        <w:rPr>
          <w:b/>
          <w:sz w:val="28"/>
          <w:szCs w:val="28"/>
        </w:rPr>
        <w:t>W holu wejściowym do dworku zlokalizowane będzie Centrum Informacji Turystycznej w Kamieniu Pomorskim, realizujące funkcję informacyjną zarówno dla nowego produktu turystycznego, powstałego w wyniku realizacji projektu, jak również bardziej ogólnie – dla pozostałych produktów i usług turystycznych i okołoturystycznych, dostępnych w mieście.</w:t>
      </w:r>
    </w:p>
    <w:p w:rsidR="00254378" w:rsidRPr="00254378" w:rsidRDefault="00254378" w:rsidP="00C20728">
      <w:pPr>
        <w:jc w:val="both"/>
        <w:rPr>
          <w:b/>
          <w:sz w:val="28"/>
          <w:szCs w:val="28"/>
        </w:rPr>
      </w:pPr>
      <w:r w:rsidRPr="00254378">
        <w:rPr>
          <w:b/>
          <w:sz w:val="28"/>
          <w:szCs w:val="28"/>
        </w:rPr>
        <w:t>Laboratorium von Kleista</w:t>
      </w:r>
    </w:p>
    <w:p w:rsidR="00254378" w:rsidRPr="00254378" w:rsidRDefault="00254378" w:rsidP="00C20728">
      <w:pPr>
        <w:jc w:val="both"/>
        <w:rPr>
          <w:b/>
          <w:sz w:val="28"/>
          <w:szCs w:val="28"/>
        </w:rPr>
      </w:pPr>
      <w:r w:rsidRPr="00254378">
        <w:rPr>
          <w:b/>
          <w:sz w:val="28"/>
          <w:szCs w:val="28"/>
        </w:rPr>
        <w:t>W specjalnie przygotowanej salce prezentowane będą instrumenty z doświadczeń fizycznych, jakie przeprowadzał Ewald von Kleist, w tym z prototypem kondensatora elektrycznego, tzw. butelką lejdejską. Dla zwiedzających wykonywane będzie doświadczenie opisane przez von Kleista - udany eksperyment z butelką lejdejską, jakie wykonał 11 października 1745 roku. Salka wyposażona będzie w specjalnie do tego celu przygotowane urządzenia elektrostatyczne, nawiązujące do epoki, w której wynalazca prowadził badania, np. szklana butelka, wewnątrz której umieszczony został miedziany drut, umocowany za pomocą korka - dokładnie taki sam, jaki von Kleist naszkicował w liście do ks. Pawła Świetlickiego.</w:t>
      </w:r>
    </w:p>
    <w:p w:rsidR="00254378" w:rsidRPr="00254378" w:rsidRDefault="00254378" w:rsidP="00C20728">
      <w:pPr>
        <w:jc w:val="both"/>
        <w:rPr>
          <w:b/>
          <w:sz w:val="28"/>
          <w:szCs w:val="28"/>
        </w:rPr>
      </w:pPr>
      <w:r w:rsidRPr="00254378">
        <w:rPr>
          <w:b/>
          <w:sz w:val="28"/>
          <w:szCs w:val="28"/>
        </w:rPr>
        <w:t>Rekonstruktor - osoba prezentująca laboratorium oraz prowadząca eksperyment będzie ubrana w strój z epoki tak, aby jak najrzetelniej odtworzyć zwiedzającym realia XVIII w., w którym von Kleist prowadził badania. Uczestnicy pokazu będą brać bezpośredni udział w nim udział poprzez wykonywanie doświadczeń za pomocą butelki lejdejskiej. Na ścianie pomieszczenia zawieszone będą ryciny z epoki przedstawiające badania nad elektrycznością prowadzone w XVIII wieku przez innych badaczy, m.in. rycina, na której Benjamin Franklin prowadził badania za pomocą butelki lejdejskiej i latawca. Pozostałymi eksponatami będą meble, służące do przechowywania urządzeń elektrostatycznych oraz stołki i ławki dla zwiedzających. W ścianie południowej sali widoczna będzie nisza, która pierwotnie była częścią Bramy Kapitulnej – średniowiecznej budowli systemu obronnego Osiedla Katedralnego.</w:t>
      </w:r>
    </w:p>
    <w:p w:rsidR="00254378" w:rsidRPr="00254378" w:rsidRDefault="00254378" w:rsidP="00C20728">
      <w:pPr>
        <w:jc w:val="both"/>
        <w:rPr>
          <w:b/>
          <w:sz w:val="28"/>
          <w:szCs w:val="28"/>
        </w:rPr>
      </w:pPr>
      <w:r w:rsidRPr="00254378">
        <w:rPr>
          <w:b/>
          <w:sz w:val="28"/>
          <w:szCs w:val="28"/>
        </w:rPr>
        <w:t>Pokój z epoki – pokój von Kleista</w:t>
      </w:r>
    </w:p>
    <w:p w:rsidR="00254378" w:rsidRPr="00254378" w:rsidRDefault="00254378" w:rsidP="00C20728">
      <w:pPr>
        <w:jc w:val="both"/>
        <w:rPr>
          <w:b/>
          <w:sz w:val="28"/>
          <w:szCs w:val="28"/>
        </w:rPr>
      </w:pPr>
      <w:r w:rsidRPr="00254378">
        <w:rPr>
          <w:b/>
          <w:sz w:val="28"/>
          <w:szCs w:val="28"/>
        </w:rPr>
        <w:t>Będzie to pomieszczenie, znajdujące się w bezpośrednim sąsiedztwie z laboratorium von Kleista. Salka wyposażona zostanie w meble z epoki baroku: sofę, fotele, kredens, stół, dywan, obrazy itp. W salce znajdować się będą naczynia tzw. „</w:t>
      </w:r>
      <w:proofErr w:type="spellStart"/>
      <w:r w:rsidRPr="00254378">
        <w:rPr>
          <w:b/>
          <w:sz w:val="28"/>
          <w:szCs w:val="28"/>
        </w:rPr>
        <w:t>sttetinerware</w:t>
      </w:r>
      <w:proofErr w:type="spellEnd"/>
      <w:r w:rsidRPr="00254378">
        <w:rPr>
          <w:b/>
          <w:sz w:val="28"/>
          <w:szCs w:val="28"/>
        </w:rPr>
        <w:t>”, które są wyrobem pomorskim, popularnym od XVIII do XIX wieku. Naczynia zostaną dokładnie odwzorowane, na podstawie fragmentów naczyń odkrytych podczas badań archeologicznych, prowadzonych przy kurii dziekana w 2011 roku.</w:t>
      </w:r>
    </w:p>
    <w:p w:rsidR="00254378" w:rsidRPr="00254378" w:rsidRDefault="00254378" w:rsidP="00C20728">
      <w:pPr>
        <w:jc w:val="both"/>
        <w:rPr>
          <w:b/>
          <w:sz w:val="28"/>
          <w:szCs w:val="28"/>
        </w:rPr>
      </w:pPr>
      <w:r w:rsidRPr="00254378">
        <w:rPr>
          <w:b/>
          <w:sz w:val="28"/>
          <w:szCs w:val="28"/>
        </w:rPr>
        <w:t>Ekspozycja stanowiska archeologicznego</w:t>
      </w:r>
    </w:p>
    <w:p w:rsidR="00254378" w:rsidRPr="00254378" w:rsidRDefault="00254378" w:rsidP="00C20728">
      <w:pPr>
        <w:jc w:val="both"/>
        <w:rPr>
          <w:b/>
          <w:sz w:val="28"/>
          <w:szCs w:val="28"/>
        </w:rPr>
      </w:pPr>
      <w:r w:rsidRPr="00254378">
        <w:rPr>
          <w:b/>
          <w:sz w:val="28"/>
          <w:szCs w:val="28"/>
        </w:rPr>
        <w:t xml:space="preserve">W przestronnej sali wystawienniczej zlokalizowanej obok „Pokoju z epoki” wyeksponowana zostanie odkrywka archeologiczna, dzięki zastosowaniu przeszklonej podłogi. Dzięki temu zwiedzający będą mogli zapoznać się z historią Kurii Dziekana, na podstawie odkrytych profili archeologicznych i reliktów starej kurii, którą spłonęła w XVI wieku. W sali znajdować się będą również zdjęcia i zabytki odkryte w trakcie wykopalisk prowadzonych na terenie kurii w latach 2011-2013, m.in. moneta z XVII wieku – tzw. </w:t>
      </w:r>
      <w:proofErr w:type="spellStart"/>
      <w:r w:rsidRPr="00254378">
        <w:rPr>
          <w:b/>
          <w:sz w:val="28"/>
          <w:szCs w:val="28"/>
        </w:rPr>
        <w:t>szerf</w:t>
      </w:r>
      <w:proofErr w:type="spellEnd"/>
      <w:r w:rsidRPr="00254378">
        <w:rPr>
          <w:b/>
          <w:sz w:val="28"/>
          <w:szCs w:val="28"/>
        </w:rPr>
        <w:t xml:space="preserve"> książąt pomorskich. Zabytki te zostaną umieszczone w specjalnie podświetlanych gablotach.</w:t>
      </w:r>
    </w:p>
    <w:p w:rsidR="00254378" w:rsidRPr="00254378" w:rsidRDefault="00254378" w:rsidP="00C20728">
      <w:pPr>
        <w:jc w:val="both"/>
        <w:rPr>
          <w:b/>
          <w:sz w:val="28"/>
          <w:szCs w:val="28"/>
        </w:rPr>
      </w:pPr>
      <w:r w:rsidRPr="00254378">
        <w:rPr>
          <w:b/>
          <w:sz w:val="28"/>
          <w:szCs w:val="28"/>
        </w:rPr>
        <w:t>W przypadku organizacji wydarzenia prezentacyjno-informacyjnego nastawionego na dużą liczbę odbiorców, sala z ekspozycją stanowiska archeologicznego, będzie mogła pełnić tymczasowa funkcję sali konferencyjnej.</w:t>
      </w:r>
    </w:p>
    <w:p w:rsidR="00254378" w:rsidRPr="00254378" w:rsidRDefault="00254378" w:rsidP="00C20728">
      <w:pPr>
        <w:jc w:val="both"/>
        <w:rPr>
          <w:b/>
          <w:sz w:val="28"/>
          <w:szCs w:val="28"/>
        </w:rPr>
      </w:pPr>
      <w:r w:rsidRPr="00254378">
        <w:rPr>
          <w:b/>
          <w:sz w:val="28"/>
          <w:szCs w:val="28"/>
        </w:rPr>
        <w:t>Salka konferencyjna</w:t>
      </w:r>
    </w:p>
    <w:p w:rsidR="00254378" w:rsidRPr="00254378" w:rsidRDefault="00254378" w:rsidP="00C20728">
      <w:pPr>
        <w:jc w:val="both"/>
        <w:rPr>
          <w:b/>
          <w:sz w:val="28"/>
          <w:szCs w:val="28"/>
        </w:rPr>
      </w:pPr>
      <w:r w:rsidRPr="00254378">
        <w:rPr>
          <w:b/>
          <w:sz w:val="28"/>
          <w:szCs w:val="28"/>
        </w:rPr>
        <w:t>Zlokalizowana na lewo od holu wejściowego, przeznaczona na realizacje multimedialnych prezentacji dla zwiedzających we wszystkich grupach wiekowych.</w:t>
      </w:r>
    </w:p>
    <w:p w:rsidR="00254378" w:rsidRPr="00254378" w:rsidRDefault="00254378" w:rsidP="00C20728">
      <w:pPr>
        <w:jc w:val="both"/>
        <w:rPr>
          <w:b/>
          <w:sz w:val="28"/>
          <w:szCs w:val="28"/>
        </w:rPr>
      </w:pPr>
      <w:r w:rsidRPr="00254378">
        <w:rPr>
          <w:b/>
          <w:sz w:val="28"/>
          <w:szCs w:val="28"/>
        </w:rPr>
        <w:t>Prezentacja składać się będzie z 3 części:</w:t>
      </w:r>
    </w:p>
    <w:p w:rsidR="00254378" w:rsidRPr="00254378" w:rsidRDefault="00254378" w:rsidP="00C20728">
      <w:pPr>
        <w:jc w:val="both"/>
        <w:rPr>
          <w:b/>
          <w:sz w:val="28"/>
          <w:szCs w:val="28"/>
        </w:rPr>
      </w:pPr>
      <w:r w:rsidRPr="00254378">
        <w:rPr>
          <w:b/>
          <w:sz w:val="28"/>
          <w:szCs w:val="28"/>
        </w:rPr>
        <w:t>I. pierwsza - zostanie poświęcona życiu Ewalda von Kleista,</w:t>
      </w:r>
    </w:p>
    <w:p w:rsidR="00254378" w:rsidRPr="00254378" w:rsidRDefault="00254378" w:rsidP="00C20728">
      <w:pPr>
        <w:jc w:val="both"/>
        <w:rPr>
          <w:b/>
          <w:sz w:val="28"/>
          <w:szCs w:val="28"/>
        </w:rPr>
      </w:pPr>
      <w:r w:rsidRPr="00254378">
        <w:rPr>
          <w:b/>
          <w:sz w:val="28"/>
          <w:szCs w:val="28"/>
        </w:rPr>
        <w:t>II. druga - jego doświadczeniom</w:t>
      </w:r>
    </w:p>
    <w:p w:rsidR="00254378" w:rsidRPr="00254378" w:rsidRDefault="00254378" w:rsidP="00C20728">
      <w:pPr>
        <w:jc w:val="both"/>
        <w:rPr>
          <w:b/>
          <w:sz w:val="28"/>
          <w:szCs w:val="28"/>
        </w:rPr>
      </w:pPr>
      <w:r w:rsidRPr="00254378">
        <w:rPr>
          <w:b/>
          <w:sz w:val="28"/>
          <w:szCs w:val="28"/>
        </w:rPr>
        <w:t>III. trzecia – wpływowi, jakie jego odkrycie miało dla rozwoju fizyki i elektrostatyki na świecie.</w:t>
      </w:r>
    </w:p>
    <w:p w:rsidR="00254378" w:rsidRDefault="00254378" w:rsidP="00C20728">
      <w:pPr>
        <w:jc w:val="both"/>
        <w:rPr>
          <w:b/>
          <w:sz w:val="28"/>
          <w:szCs w:val="28"/>
        </w:rPr>
      </w:pPr>
      <w:r w:rsidRPr="00254378">
        <w:rPr>
          <w:b/>
          <w:sz w:val="28"/>
          <w:szCs w:val="28"/>
        </w:rPr>
        <w:t>Ponadto, we współpracy ze szczecińskim oddziałem Polskiego Towarzystwa Fizycznego, planowana jest organizacja corocznego pikniku naukowego w ramach, którego odbywać się będą cykliczne konferencje w dniu odkrycia Ewalda von Kleista, gdzie naukowcy będą dyskutować o znaczeniu tegoż odkrycia dla nauki. Na wyposażeniu sali będą m.in.: projektor, ekran, głośniki, pulpit wykładowy, krzesła.</w:t>
      </w:r>
    </w:p>
    <w:p w:rsidR="001D3F20" w:rsidRDefault="001D3F20" w:rsidP="00C20728">
      <w:pPr>
        <w:jc w:val="both"/>
        <w:rPr>
          <w:b/>
          <w:sz w:val="28"/>
          <w:szCs w:val="28"/>
        </w:rPr>
      </w:pPr>
    </w:p>
    <w:p w:rsidR="001D3F20" w:rsidRPr="00254378" w:rsidRDefault="001D3F20" w:rsidP="00C20728">
      <w:pPr>
        <w:jc w:val="both"/>
        <w:rPr>
          <w:b/>
          <w:sz w:val="28"/>
          <w:szCs w:val="28"/>
        </w:rPr>
      </w:pPr>
      <w:r w:rsidRPr="001D3F20">
        <w:rPr>
          <w:b/>
          <w:noProof/>
          <w:sz w:val="28"/>
          <w:szCs w:val="28"/>
        </w:rPr>
        <w:drawing>
          <wp:inline distT="0" distB="0" distL="0" distR="0">
            <wp:extent cx="5760720" cy="213828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138289"/>
                    </a:xfrm>
                    <a:prstGeom prst="rect">
                      <a:avLst/>
                    </a:prstGeom>
                    <a:noFill/>
                    <a:ln>
                      <a:noFill/>
                    </a:ln>
                  </pic:spPr>
                </pic:pic>
              </a:graphicData>
            </a:graphic>
          </wp:inline>
        </w:drawing>
      </w:r>
    </w:p>
    <w:p w:rsidR="00254378" w:rsidRPr="00254378" w:rsidRDefault="00254378" w:rsidP="00C20728">
      <w:pPr>
        <w:jc w:val="both"/>
        <w:rPr>
          <w:b/>
          <w:sz w:val="28"/>
          <w:szCs w:val="28"/>
        </w:rPr>
      </w:pPr>
      <w:r w:rsidRPr="00254378">
        <w:rPr>
          <w:b/>
          <w:sz w:val="28"/>
          <w:szCs w:val="28"/>
        </w:rPr>
        <w:t>Rys. 10: Kierunek zwiedzania Dworku von Kleista</w:t>
      </w:r>
    </w:p>
    <w:p w:rsidR="00254378" w:rsidRDefault="00254378" w:rsidP="00C20728">
      <w:pPr>
        <w:jc w:val="both"/>
        <w:rPr>
          <w:b/>
          <w:sz w:val="28"/>
          <w:szCs w:val="28"/>
        </w:rPr>
      </w:pPr>
      <w:r w:rsidRPr="00254378">
        <w:rPr>
          <w:b/>
          <w:sz w:val="28"/>
          <w:szCs w:val="28"/>
        </w:rPr>
        <w:t>Źródło: Dokumentacja techniczno-projektowa</w:t>
      </w:r>
    </w:p>
    <w:p w:rsidR="001D3F20" w:rsidRPr="00254378" w:rsidRDefault="001D3F20" w:rsidP="00C20728">
      <w:pPr>
        <w:jc w:val="both"/>
        <w:rPr>
          <w:b/>
          <w:sz w:val="28"/>
          <w:szCs w:val="28"/>
        </w:rPr>
      </w:pPr>
    </w:p>
    <w:p w:rsidR="00784157" w:rsidRDefault="00784157" w:rsidP="00C20728">
      <w:pPr>
        <w:jc w:val="both"/>
        <w:rPr>
          <w:b/>
          <w:sz w:val="28"/>
          <w:szCs w:val="28"/>
        </w:rPr>
      </w:pPr>
    </w:p>
    <w:p w:rsidR="00254378" w:rsidRPr="00254378" w:rsidRDefault="00254378" w:rsidP="00C20728">
      <w:pPr>
        <w:jc w:val="both"/>
        <w:rPr>
          <w:b/>
          <w:sz w:val="28"/>
          <w:szCs w:val="28"/>
        </w:rPr>
      </w:pPr>
      <w:r w:rsidRPr="00254378">
        <w:rPr>
          <w:b/>
          <w:sz w:val="28"/>
          <w:szCs w:val="28"/>
        </w:rPr>
        <w:t>PODSUMOWANIE</w:t>
      </w:r>
    </w:p>
    <w:p w:rsidR="00254378" w:rsidRPr="00254378" w:rsidRDefault="00254378" w:rsidP="00C20728">
      <w:pPr>
        <w:jc w:val="both"/>
        <w:rPr>
          <w:b/>
          <w:sz w:val="28"/>
          <w:szCs w:val="28"/>
        </w:rPr>
      </w:pPr>
      <w:r w:rsidRPr="00254378">
        <w:rPr>
          <w:b/>
          <w:sz w:val="28"/>
          <w:szCs w:val="28"/>
        </w:rPr>
        <w:t>Zaprezentowana powyżej koncepcja funkcjonowania nowego produktu turystycznego, wykreowanego na bazie potencjału endogenicznego w wyniku realizacji analizowanego przedsięwzięcia, zakłada wykorzystanie produktów projektu:</w:t>
      </w:r>
    </w:p>
    <w:p w:rsidR="00254378" w:rsidRPr="00254378" w:rsidRDefault="00254378" w:rsidP="00C20728">
      <w:pPr>
        <w:jc w:val="both"/>
        <w:rPr>
          <w:b/>
          <w:sz w:val="28"/>
          <w:szCs w:val="28"/>
        </w:rPr>
      </w:pPr>
      <w:r w:rsidRPr="00254378">
        <w:rPr>
          <w:b/>
          <w:sz w:val="28"/>
          <w:szCs w:val="28"/>
        </w:rPr>
        <w:t> dla jak najszerszej grupy odbiorców – zróżnicowanej wiekowo i o różnym poziomie wiedze historycznej, a także z zakresu elektrostatyki</w:t>
      </w:r>
    </w:p>
    <w:p w:rsidR="00254378" w:rsidRPr="00254378" w:rsidRDefault="00254378" w:rsidP="00C20728">
      <w:pPr>
        <w:jc w:val="both"/>
        <w:rPr>
          <w:b/>
          <w:sz w:val="28"/>
          <w:szCs w:val="28"/>
        </w:rPr>
      </w:pPr>
      <w:r w:rsidRPr="00254378">
        <w:rPr>
          <w:b/>
          <w:sz w:val="28"/>
          <w:szCs w:val="28"/>
        </w:rPr>
        <w:t> w różnorodnej i atrakcyjnej formie:</w:t>
      </w:r>
    </w:p>
    <w:p w:rsidR="00254378" w:rsidRPr="00254378" w:rsidRDefault="00254378" w:rsidP="00C20728">
      <w:pPr>
        <w:jc w:val="both"/>
        <w:rPr>
          <w:b/>
          <w:sz w:val="28"/>
          <w:szCs w:val="28"/>
        </w:rPr>
      </w:pPr>
      <w:r w:rsidRPr="00254378">
        <w:rPr>
          <w:b/>
          <w:sz w:val="28"/>
          <w:szCs w:val="28"/>
        </w:rPr>
        <w:t>o wprowadzono wysoki poziom interaktywności zarówno wystawy, jak i odtwórstwa historycznego</w:t>
      </w:r>
    </w:p>
    <w:p w:rsidR="00254378" w:rsidRPr="00254378" w:rsidRDefault="00254378" w:rsidP="00C20728">
      <w:pPr>
        <w:jc w:val="both"/>
        <w:rPr>
          <w:b/>
          <w:sz w:val="28"/>
          <w:szCs w:val="28"/>
        </w:rPr>
      </w:pPr>
      <w:r w:rsidRPr="00254378">
        <w:rPr>
          <w:b/>
          <w:sz w:val="28"/>
          <w:szCs w:val="28"/>
        </w:rPr>
        <w:t>o zastosowano nowoczesne metody ekspozycji</w:t>
      </w:r>
    </w:p>
    <w:p w:rsidR="00254378" w:rsidRPr="00254378" w:rsidRDefault="00254378" w:rsidP="00C20728">
      <w:pPr>
        <w:jc w:val="both"/>
        <w:rPr>
          <w:b/>
          <w:sz w:val="28"/>
          <w:szCs w:val="28"/>
        </w:rPr>
      </w:pPr>
      <w:r w:rsidRPr="00254378">
        <w:rPr>
          <w:b/>
          <w:sz w:val="28"/>
          <w:szCs w:val="28"/>
        </w:rPr>
        <w:t>o warsztaty dla młodzieży szkolnej realizowany będą w atrakcyjnej, przystępnej formule</w:t>
      </w:r>
    </w:p>
    <w:p w:rsidR="00254378" w:rsidRDefault="00254378" w:rsidP="00C20728">
      <w:pPr>
        <w:jc w:val="both"/>
        <w:rPr>
          <w:b/>
          <w:sz w:val="28"/>
          <w:szCs w:val="28"/>
        </w:rPr>
      </w:pPr>
      <w:r w:rsidRPr="00254378">
        <w:rPr>
          <w:b/>
          <w:sz w:val="28"/>
          <w:szCs w:val="28"/>
        </w:rPr>
        <w:t>o odbiór produktu turystycznego niejednokrotnie związany będzie z realizacją aktywnych gier edukacyjnych</w:t>
      </w:r>
      <w:r w:rsidR="009C30CF">
        <w:rPr>
          <w:b/>
          <w:sz w:val="28"/>
          <w:szCs w:val="28"/>
        </w:rPr>
        <w:t>.</w:t>
      </w:r>
    </w:p>
    <w:p w:rsidR="0090720D" w:rsidRDefault="0090720D" w:rsidP="00C20728">
      <w:pPr>
        <w:jc w:val="both"/>
        <w:rPr>
          <w:b/>
          <w:sz w:val="28"/>
          <w:szCs w:val="28"/>
        </w:rPr>
      </w:pPr>
    </w:p>
    <w:p w:rsidR="0090720D" w:rsidRDefault="0090720D" w:rsidP="00C20728">
      <w:pPr>
        <w:jc w:val="both"/>
        <w:rPr>
          <w:b/>
          <w:sz w:val="28"/>
          <w:szCs w:val="28"/>
        </w:rPr>
      </w:pPr>
    </w:p>
    <w:p w:rsidR="00104071" w:rsidRDefault="00104071" w:rsidP="00C20728">
      <w:pPr>
        <w:jc w:val="both"/>
        <w:rPr>
          <w:b/>
          <w:sz w:val="28"/>
          <w:szCs w:val="28"/>
        </w:rPr>
      </w:pPr>
    </w:p>
    <w:p w:rsidR="00104071" w:rsidRDefault="00104071" w:rsidP="00C20728">
      <w:pPr>
        <w:jc w:val="both"/>
        <w:rPr>
          <w:b/>
          <w:sz w:val="28"/>
          <w:szCs w:val="28"/>
        </w:rPr>
      </w:pPr>
    </w:p>
    <w:p w:rsidR="00104071" w:rsidRDefault="00104071" w:rsidP="00C20728">
      <w:pPr>
        <w:jc w:val="both"/>
        <w:rPr>
          <w:b/>
          <w:sz w:val="28"/>
          <w:szCs w:val="28"/>
        </w:rPr>
      </w:pPr>
    </w:p>
    <w:p w:rsidR="00104071" w:rsidRDefault="00104071" w:rsidP="00C20728">
      <w:pPr>
        <w:jc w:val="both"/>
        <w:rPr>
          <w:b/>
          <w:sz w:val="28"/>
          <w:szCs w:val="28"/>
        </w:rPr>
      </w:pPr>
    </w:p>
    <w:p w:rsidR="00104071" w:rsidRDefault="00104071" w:rsidP="00C20728">
      <w:pPr>
        <w:jc w:val="both"/>
        <w:rPr>
          <w:b/>
          <w:sz w:val="28"/>
          <w:szCs w:val="28"/>
        </w:rPr>
      </w:pPr>
    </w:p>
    <w:p w:rsidR="00104071" w:rsidRDefault="00104071" w:rsidP="00C20728">
      <w:pPr>
        <w:jc w:val="both"/>
        <w:rPr>
          <w:b/>
          <w:sz w:val="28"/>
          <w:szCs w:val="28"/>
        </w:rPr>
      </w:pPr>
    </w:p>
    <w:p w:rsidR="00104071" w:rsidRDefault="00104071" w:rsidP="00C20728">
      <w:pPr>
        <w:jc w:val="both"/>
        <w:rPr>
          <w:b/>
          <w:sz w:val="28"/>
          <w:szCs w:val="28"/>
        </w:rPr>
      </w:pPr>
    </w:p>
    <w:p w:rsidR="00104071" w:rsidRDefault="00104071" w:rsidP="00C20728">
      <w:pPr>
        <w:jc w:val="both"/>
        <w:rPr>
          <w:b/>
          <w:sz w:val="28"/>
          <w:szCs w:val="28"/>
        </w:rPr>
      </w:pPr>
    </w:p>
    <w:p w:rsidR="00104071" w:rsidRDefault="00104071" w:rsidP="00C20728">
      <w:pPr>
        <w:jc w:val="both"/>
        <w:rPr>
          <w:b/>
          <w:sz w:val="28"/>
          <w:szCs w:val="28"/>
        </w:rPr>
      </w:pPr>
    </w:p>
    <w:p w:rsidR="00104071" w:rsidRDefault="00104071" w:rsidP="00C20728">
      <w:pPr>
        <w:jc w:val="both"/>
        <w:rPr>
          <w:b/>
          <w:sz w:val="28"/>
          <w:szCs w:val="28"/>
        </w:rPr>
      </w:pPr>
    </w:p>
    <w:p w:rsidR="00104071" w:rsidRDefault="00104071" w:rsidP="00C20728">
      <w:pPr>
        <w:jc w:val="both"/>
        <w:rPr>
          <w:b/>
          <w:sz w:val="28"/>
          <w:szCs w:val="28"/>
        </w:rPr>
      </w:pPr>
    </w:p>
    <w:p w:rsidR="00104071" w:rsidRDefault="00104071" w:rsidP="00C20728">
      <w:pPr>
        <w:jc w:val="both"/>
        <w:rPr>
          <w:b/>
          <w:sz w:val="28"/>
          <w:szCs w:val="28"/>
        </w:rPr>
      </w:pPr>
    </w:p>
    <w:p w:rsidR="00104071" w:rsidRDefault="00104071" w:rsidP="00C20728">
      <w:pPr>
        <w:jc w:val="both"/>
        <w:rPr>
          <w:b/>
          <w:color w:val="C00000"/>
          <w:sz w:val="28"/>
          <w:szCs w:val="28"/>
        </w:rPr>
      </w:pPr>
      <w:r w:rsidRPr="00104071">
        <w:rPr>
          <w:b/>
          <w:color w:val="C00000"/>
          <w:sz w:val="28"/>
          <w:szCs w:val="28"/>
        </w:rPr>
        <w:t>Cele i rezultaty przedmiotowego projektu</w:t>
      </w:r>
    </w:p>
    <w:p w:rsidR="00104071" w:rsidRPr="00104071" w:rsidRDefault="00104071" w:rsidP="00C20728">
      <w:pPr>
        <w:jc w:val="both"/>
        <w:rPr>
          <w:b/>
          <w:color w:val="C00000"/>
          <w:sz w:val="28"/>
          <w:szCs w:val="28"/>
        </w:rPr>
      </w:pPr>
      <w:r>
        <w:rPr>
          <w:b/>
          <w:color w:val="C00000"/>
          <w:sz w:val="28"/>
          <w:szCs w:val="28"/>
        </w:rPr>
        <w:t xml:space="preserve"> </w:t>
      </w:r>
      <w:bookmarkStart w:id="0" w:name="_GoBack"/>
      <w:bookmarkEnd w:id="0"/>
    </w:p>
    <w:p w:rsidR="00104071" w:rsidRDefault="00104071" w:rsidP="00C20728">
      <w:pPr>
        <w:jc w:val="both"/>
        <w:rPr>
          <w:b/>
          <w:sz w:val="28"/>
          <w:szCs w:val="28"/>
        </w:rPr>
      </w:pPr>
      <w:r w:rsidRPr="00104071">
        <w:rPr>
          <w:b/>
          <w:sz w:val="28"/>
          <w:szCs w:val="28"/>
        </w:rPr>
        <w:t xml:space="preserve">Celem nadrzędnym, jakiemu służyć ma realizacja przedmiotowej inwestycji jest rozwój lokalnego rynku pracy opartego na endogenicznym potencjale. Wpływ na osiągnięcie przez region zachodniopomorski celu nadrzędnego mieć będzie realizacja celu bezpośredniego (głównego) niniejszego projektu, tj. wykreowanie nowego produktu turystycznego dzięki rekonstrukcji i wyposażeniu Dworku von Kleista oraz organizacji wystawy stałej w budynku Muzeum Historii Ziemi Kamieńskiej. </w:t>
      </w:r>
    </w:p>
    <w:p w:rsidR="0090720D" w:rsidRDefault="00104071" w:rsidP="00C20728">
      <w:pPr>
        <w:jc w:val="both"/>
        <w:rPr>
          <w:b/>
          <w:sz w:val="28"/>
          <w:szCs w:val="28"/>
        </w:rPr>
      </w:pPr>
      <w:r w:rsidRPr="00104071">
        <w:rPr>
          <w:b/>
          <w:sz w:val="28"/>
          <w:szCs w:val="28"/>
        </w:rPr>
        <w:t xml:space="preserve">Osiągnięcie celu zarówno na poziomie regionalnym, jak i lokalnym (niniejszy projekt) badane będzie przez pryzmat zrealizowania wskaźnika rezultatu, jakim jest szacowany wzrost oczekiwanej liczby odwiedzin w objętych wsparciem miejscach należących do dziedzictwa kulturalnego i naturalnego oraz stanowiących atrakcje turystyczne oraz wzrost zatrudnienia we wspieranych podmiotach w wyniku wdrożenia projektu. </w:t>
      </w:r>
    </w:p>
    <w:p w:rsidR="00104071" w:rsidRDefault="00104071" w:rsidP="00C20728">
      <w:pPr>
        <w:jc w:val="both"/>
        <w:rPr>
          <w:b/>
          <w:sz w:val="28"/>
          <w:szCs w:val="28"/>
        </w:rPr>
      </w:pPr>
    </w:p>
    <w:p w:rsidR="00104071" w:rsidRDefault="00104071" w:rsidP="00C20728">
      <w:pPr>
        <w:jc w:val="both"/>
        <w:rPr>
          <w:b/>
          <w:sz w:val="28"/>
          <w:szCs w:val="28"/>
        </w:rPr>
      </w:pPr>
    </w:p>
    <w:p w:rsidR="00104071" w:rsidRDefault="00104071" w:rsidP="00C20728">
      <w:pPr>
        <w:jc w:val="both"/>
        <w:rPr>
          <w:b/>
          <w:sz w:val="28"/>
          <w:szCs w:val="28"/>
        </w:rPr>
      </w:pPr>
    </w:p>
    <w:p w:rsidR="00104071" w:rsidRDefault="00104071" w:rsidP="00C20728">
      <w:pPr>
        <w:jc w:val="both"/>
        <w:rPr>
          <w:b/>
          <w:sz w:val="28"/>
          <w:szCs w:val="28"/>
        </w:rPr>
      </w:pPr>
    </w:p>
    <w:p w:rsidR="00104071" w:rsidRDefault="00104071" w:rsidP="00C20728">
      <w:pPr>
        <w:jc w:val="both"/>
        <w:rPr>
          <w:b/>
          <w:sz w:val="28"/>
          <w:szCs w:val="28"/>
        </w:rPr>
      </w:pPr>
    </w:p>
    <w:p w:rsidR="00104071" w:rsidRDefault="00104071" w:rsidP="00C20728">
      <w:pPr>
        <w:jc w:val="both"/>
        <w:rPr>
          <w:b/>
          <w:sz w:val="28"/>
          <w:szCs w:val="28"/>
        </w:rPr>
      </w:pPr>
    </w:p>
    <w:sectPr w:rsidR="00104071">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1F6" w:rsidRDefault="002671F6" w:rsidP="002671F6">
      <w:r>
        <w:separator/>
      </w:r>
    </w:p>
  </w:endnote>
  <w:endnote w:type="continuationSeparator" w:id="0">
    <w:p w:rsidR="002671F6" w:rsidRDefault="002671F6" w:rsidP="00267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1F6" w:rsidRDefault="002671F6" w:rsidP="002671F6">
      <w:r>
        <w:separator/>
      </w:r>
    </w:p>
  </w:footnote>
  <w:footnote w:type="continuationSeparator" w:id="0">
    <w:p w:rsidR="002671F6" w:rsidRDefault="002671F6" w:rsidP="002671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1F6" w:rsidRDefault="002671F6">
    <w:pPr>
      <w:pStyle w:val="Nagwek"/>
    </w:pPr>
    <w:r>
      <w:rPr>
        <w:noProof/>
      </w:rPr>
      <w:drawing>
        <wp:inline distT="0" distB="0" distL="0" distR="0" wp14:anchorId="776B23C8" wp14:editId="6448AD3C">
          <wp:extent cx="5760720" cy="650240"/>
          <wp:effectExtent l="0" t="0" r="0" b="0"/>
          <wp:docPr id="1"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5024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F44159"/>
    <w:multiLevelType w:val="hybridMultilevel"/>
    <w:tmpl w:val="B150E55E"/>
    <w:lvl w:ilvl="0" w:tplc="F0B6F6CA">
      <w:start w:val="1"/>
      <w:numFmt w:val="lowerLetter"/>
      <w:lvlText w:val="%1)"/>
      <w:lvlJc w:val="left"/>
      <w:pPr>
        <w:ind w:left="1854" w:hanging="360"/>
      </w:pPr>
      <w:rPr>
        <w:rFonts w:ascii="Arial Narrow" w:hAnsi="Arial Narrow" w:cs="Arial" w:hint="default"/>
        <w:b w:val="0"/>
        <w:i w:val="0"/>
        <w:sz w:val="24"/>
        <w:szCs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15:restartNumberingAfterBreak="0">
    <w:nsid w:val="02A53236"/>
    <w:multiLevelType w:val="hybridMultilevel"/>
    <w:tmpl w:val="A47C94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F96ED4"/>
    <w:multiLevelType w:val="hybridMultilevel"/>
    <w:tmpl w:val="30A6B3E8"/>
    <w:lvl w:ilvl="0" w:tplc="0415000F">
      <w:start w:val="1"/>
      <w:numFmt w:val="decimal"/>
      <w:lvlText w:val="%1."/>
      <w:lvlJc w:val="left"/>
      <w:pPr>
        <w:tabs>
          <w:tab w:val="num" w:pos="720"/>
        </w:tabs>
        <w:ind w:left="720" w:hanging="360"/>
      </w:pPr>
    </w:lvl>
    <w:lvl w:ilvl="1" w:tplc="7BA29894">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15F4783C"/>
    <w:multiLevelType w:val="hybridMultilevel"/>
    <w:tmpl w:val="7946FE88"/>
    <w:lvl w:ilvl="0" w:tplc="40A6A334">
      <w:start w:val="8"/>
      <w:numFmt w:val="decimal"/>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15:restartNumberingAfterBreak="0">
    <w:nsid w:val="171236C2"/>
    <w:multiLevelType w:val="hybridMultilevel"/>
    <w:tmpl w:val="F8B03C76"/>
    <w:lvl w:ilvl="0" w:tplc="04150017">
      <w:start w:val="1"/>
      <w:numFmt w:val="lowerLetter"/>
      <w:lvlText w:val="%1)"/>
      <w:lvlJc w:val="left"/>
      <w:pPr>
        <w:ind w:left="1425" w:hanging="360"/>
      </w:pPr>
    </w:lvl>
    <w:lvl w:ilvl="1" w:tplc="04150019">
      <w:start w:val="1"/>
      <w:numFmt w:val="lowerLetter"/>
      <w:lvlText w:val="%2."/>
      <w:lvlJc w:val="left"/>
      <w:pPr>
        <w:ind w:left="2145" w:hanging="360"/>
      </w:pPr>
    </w:lvl>
    <w:lvl w:ilvl="2" w:tplc="0415001B">
      <w:start w:val="1"/>
      <w:numFmt w:val="lowerRoman"/>
      <w:lvlText w:val="%3."/>
      <w:lvlJc w:val="right"/>
      <w:pPr>
        <w:ind w:left="2865" w:hanging="180"/>
      </w:pPr>
    </w:lvl>
    <w:lvl w:ilvl="3" w:tplc="0415000F">
      <w:start w:val="1"/>
      <w:numFmt w:val="decimal"/>
      <w:lvlText w:val="%4."/>
      <w:lvlJc w:val="left"/>
      <w:pPr>
        <w:ind w:left="3585" w:hanging="360"/>
      </w:pPr>
    </w:lvl>
    <w:lvl w:ilvl="4" w:tplc="04150019">
      <w:start w:val="1"/>
      <w:numFmt w:val="lowerLetter"/>
      <w:lvlText w:val="%5."/>
      <w:lvlJc w:val="left"/>
      <w:pPr>
        <w:ind w:left="4305" w:hanging="360"/>
      </w:pPr>
    </w:lvl>
    <w:lvl w:ilvl="5" w:tplc="0415001B">
      <w:start w:val="1"/>
      <w:numFmt w:val="lowerRoman"/>
      <w:lvlText w:val="%6."/>
      <w:lvlJc w:val="right"/>
      <w:pPr>
        <w:ind w:left="5025" w:hanging="180"/>
      </w:pPr>
    </w:lvl>
    <w:lvl w:ilvl="6" w:tplc="0415000F">
      <w:start w:val="1"/>
      <w:numFmt w:val="decimal"/>
      <w:lvlText w:val="%7."/>
      <w:lvlJc w:val="left"/>
      <w:pPr>
        <w:ind w:left="5745" w:hanging="360"/>
      </w:pPr>
    </w:lvl>
    <w:lvl w:ilvl="7" w:tplc="04150019">
      <w:start w:val="1"/>
      <w:numFmt w:val="lowerLetter"/>
      <w:lvlText w:val="%8."/>
      <w:lvlJc w:val="left"/>
      <w:pPr>
        <w:ind w:left="6465" w:hanging="360"/>
      </w:pPr>
    </w:lvl>
    <w:lvl w:ilvl="8" w:tplc="0415001B">
      <w:start w:val="1"/>
      <w:numFmt w:val="lowerRoman"/>
      <w:lvlText w:val="%9."/>
      <w:lvlJc w:val="right"/>
      <w:pPr>
        <w:ind w:left="7185" w:hanging="180"/>
      </w:pPr>
    </w:lvl>
  </w:abstractNum>
  <w:abstractNum w:abstractNumId="7" w15:restartNumberingAfterBreak="0">
    <w:nsid w:val="1A1E1B03"/>
    <w:multiLevelType w:val="hybridMultilevel"/>
    <w:tmpl w:val="5C2804F4"/>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C6E5310"/>
    <w:multiLevelType w:val="hybridMultilevel"/>
    <w:tmpl w:val="F6C2276C"/>
    <w:lvl w:ilvl="0" w:tplc="BCCA00E6">
      <w:start w:val="1"/>
      <w:numFmt w:val="decimal"/>
      <w:lvlText w:val="%1)"/>
      <w:lvlJc w:val="left"/>
      <w:pPr>
        <w:ind w:left="928" w:hanging="360"/>
      </w:pPr>
      <w:rPr>
        <w:rFonts w:ascii="Arial Narrow" w:hAnsi="Arial Narrow" w:cs="Arial" w:hint="default"/>
        <w:b w:val="0"/>
        <w:i w:val="0"/>
        <w:sz w:val="24"/>
        <w:szCs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15:restartNumberingAfterBreak="0">
    <w:nsid w:val="1F553120"/>
    <w:multiLevelType w:val="hybridMultilevel"/>
    <w:tmpl w:val="FC085B52"/>
    <w:lvl w:ilvl="0" w:tplc="04150011">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15:restartNumberingAfterBreak="0">
    <w:nsid w:val="284D414C"/>
    <w:multiLevelType w:val="hybridMultilevel"/>
    <w:tmpl w:val="3D4CE25A"/>
    <w:lvl w:ilvl="0" w:tplc="56B4B8A2">
      <w:start w:val="1"/>
      <w:numFmt w:val="lowerLetter"/>
      <w:lvlText w:val="%1)"/>
      <w:lvlJc w:val="left"/>
      <w:pPr>
        <w:ind w:left="720" w:hanging="360"/>
      </w:pPr>
      <w:rPr>
        <w:rFonts w:ascii="Arial Narrow" w:hAnsi="Arial Narrow" w:cs="Arial" w:hint="default"/>
        <w:b w:val="0"/>
        <w:i w:val="0"/>
        <w:sz w:val="24"/>
        <w:szCs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15:restartNumberingAfterBreak="0">
    <w:nsid w:val="2974122D"/>
    <w:multiLevelType w:val="hybridMultilevel"/>
    <w:tmpl w:val="1BF29B2A"/>
    <w:lvl w:ilvl="0" w:tplc="D01C7C3C">
      <w:start w:val="1"/>
      <w:numFmt w:val="bullet"/>
      <w:lvlText w:val="-"/>
      <w:lvlJc w:val="left"/>
      <w:pPr>
        <w:ind w:left="1440" w:hanging="360"/>
      </w:pPr>
      <w:rPr>
        <w:rFonts w:ascii="Garamond" w:hAnsi="Garamond"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2" w15:restartNumberingAfterBreak="0">
    <w:nsid w:val="29A141B1"/>
    <w:multiLevelType w:val="hybridMultilevel"/>
    <w:tmpl w:val="80BE5FF8"/>
    <w:lvl w:ilvl="0" w:tplc="F91A1FC0">
      <w:start w:val="18"/>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2C741C5E"/>
    <w:multiLevelType w:val="hybridMultilevel"/>
    <w:tmpl w:val="00749DEC"/>
    <w:lvl w:ilvl="0" w:tplc="0954192C">
      <w:start w:val="1"/>
      <w:numFmt w:val="decimal"/>
      <w:lvlText w:val="%1)"/>
      <w:lvlJc w:val="left"/>
      <w:pPr>
        <w:ind w:left="720" w:hanging="360"/>
      </w:pPr>
      <w:rPr>
        <w:rFonts w:ascii="Arial" w:hAnsi="Arial" w:cs="Arial" w:hint="default"/>
        <w:b w:val="0"/>
        <w:i w:val="0"/>
        <w:sz w:val="22"/>
        <w:szCs w:val="22"/>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15:restartNumberingAfterBreak="0">
    <w:nsid w:val="2DF12FF7"/>
    <w:multiLevelType w:val="hybridMultilevel"/>
    <w:tmpl w:val="9580EB76"/>
    <w:lvl w:ilvl="0" w:tplc="0415000F">
      <w:start w:val="1"/>
      <w:numFmt w:val="decimal"/>
      <w:lvlText w:val="%1."/>
      <w:lvlJc w:val="left"/>
      <w:pPr>
        <w:ind w:left="720" w:hanging="360"/>
      </w:pPr>
    </w:lvl>
    <w:lvl w:ilvl="1" w:tplc="D01C7C3C">
      <w:start w:val="1"/>
      <w:numFmt w:val="bullet"/>
      <w:lvlText w:val="-"/>
      <w:lvlJc w:val="left"/>
      <w:pPr>
        <w:ind w:left="1440" w:hanging="360"/>
      </w:pPr>
      <w:rPr>
        <w:rFonts w:ascii="Garamond" w:hAnsi="Garamond"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326F1A1B"/>
    <w:multiLevelType w:val="hybridMultilevel"/>
    <w:tmpl w:val="4D505B6A"/>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34717F9C"/>
    <w:multiLevelType w:val="hybridMultilevel"/>
    <w:tmpl w:val="D14C03C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352633E4"/>
    <w:multiLevelType w:val="hybridMultilevel"/>
    <w:tmpl w:val="D67A7E0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8" w15:restartNumberingAfterBreak="0">
    <w:nsid w:val="36C14ACC"/>
    <w:multiLevelType w:val="hybridMultilevel"/>
    <w:tmpl w:val="4D90F80C"/>
    <w:lvl w:ilvl="0" w:tplc="7BA29894">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384E59A1"/>
    <w:multiLevelType w:val="hybridMultilevel"/>
    <w:tmpl w:val="8E328C68"/>
    <w:lvl w:ilvl="0" w:tplc="0415000F">
      <w:start w:val="1"/>
      <w:numFmt w:val="decimal"/>
      <w:lvlText w:val="%1."/>
      <w:lvlJc w:val="left"/>
      <w:pPr>
        <w:ind w:left="720" w:hanging="360"/>
      </w:pPr>
    </w:lvl>
    <w:lvl w:ilvl="1" w:tplc="D01C7C3C">
      <w:start w:val="1"/>
      <w:numFmt w:val="bullet"/>
      <w:lvlText w:val="-"/>
      <w:lvlJc w:val="left"/>
      <w:pPr>
        <w:ind w:left="1440" w:hanging="360"/>
      </w:pPr>
      <w:rPr>
        <w:rFonts w:ascii="Garamond" w:hAnsi="Garamond" w:hint="default"/>
      </w:rPr>
    </w:lvl>
    <w:lvl w:ilvl="2" w:tplc="04150001">
      <w:start w:val="1"/>
      <w:numFmt w:val="bullet"/>
      <w:lvlText w:val=""/>
      <w:lvlJc w:val="left"/>
      <w:pPr>
        <w:ind w:left="2160" w:hanging="180"/>
      </w:pPr>
      <w:rPr>
        <w:rFonts w:ascii="Symbol" w:hAnsi="Symbol"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45C73991"/>
    <w:multiLevelType w:val="hybridMultilevel"/>
    <w:tmpl w:val="4796D55A"/>
    <w:lvl w:ilvl="0" w:tplc="768E8128">
      <w:start w:val="1"/>
      <w:numFmt w:val="decimal"/>
      <w:lvlText w:val="%1)"/>
      <w:lvlJc w:val="left"/>
      <w:pPr>
        <w:ind w:left="1287" w:hanging="360"/>
      </w:pPr>
      <w:rPr>
        <w:rFonts w:ascii="Arial Narrow" w:hAnsi="Arial Narrow" w:cs="Arial" w:hint="default"/>
        <w:b w:val="0"/>
        <w:i w:val="0"/>
        <w:sz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15:restartNumberingAfterBreak="0">
    <w:nsid w:val="52C16A82"/>
    <w:multiLevelType w:val="hybridMultilevel"/>
    <w:tmpl w:val="63BC90EE"/>
    <w:lvl w:ilvl="0" w:tplc="8E98C318">
      <w:start w:val="1"/>
      <w:numFmt w:val="decimal"/>
      <w:lvlText w:val="%1)"/>
      <w:lvlJc w:val="left"/>
      <w:pPr>
        <w:ind w:left="927"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15:restartNumberingAfterBreak="0">
    <w:nsid w:val="57E0017D"/>
    <w:multiLevelType w:val="hybridMultilevel"/>
    <w:tmpl w:val="A06CFF62"/>
    <w:lvl w:ilvl="0" w:tplc="D8D86790">
      <w:start w:val="1"/>
      <w:numFmt w:val="decimal"/>
      <w:lvlText w:val="%1)"/>
      <w:lvlJc w:val="left"/>
      <w:pPr>
        <w:ind w:left="720" w:hanging="360"/>
      </w:pPr>
      <w:rPr>
        <w:rFonts w:ascii="Arial Narrow" w:hAnsi="Arial Narrow" w:cs="Arial" w:hint="default"/>
        <w:b w:val="0"/>
        <w:i w:val="0"/>
        <w:sz w:val="24"/>
        <w:szCs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15:restartNumberingAfterBreak="0">
    <w:nsid w:val="59491ABD"/>
    <w:multiLevelType w:val="hybridMultilevel"/>
    <w:tmpl w:val="15F8097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63F448D0"/>
    <w:multiLevelType w:val="hybridMultilevel"/>
    <w:tmpl w:val="387C4F00"/>
    <w:lvl w:ilvl="0" w:tplc="7EE6DD1A">
      <w:start w:val="1"/>
      <w:numFmt w:val="decimal"/>
      <w:lvlText w:val="%1)"/>
      <w:lvlJc w:val="left"/>
      <w:pPr>
        <w:ind w:left="1287" w:hanging="360"/>
      </w:pPr>
      <w:rPr>
        <w:rFonts w:ascii="Arial Narrow" w:hAnsi="Arial Narrow" w:cs="Arial" w:hint="default"/>
        <w:b w:val="0"/>
        <w:i w:val="0"/>
        <w:sz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15:restartNumberingAfterBreak="0">
    <w:nsid w:val="671260FD"/>
    <w:multiLevelType w:val="hybridMultilevel"/>
    <w:tmpl w:val="261A09D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6F5A19BF"/>
    <w:multiLevelType w:val="hybridMultilevel"/>
    <w:tmpl w:val="3BF81E0A"/>
    <w:lvl w:ilvl="0" w:tplc="B2C493B0">
      <w:start w:val="3"/>
      <w:numFmt w:val="decimal"/>
      <w:lvlText w:val="%1)"/>
      <w:lvlJc w:val="left"/>
      <w:pPr>
        <w:ind w:left="1854"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15:restartNumberingAfterBreak="0">
    <w:nsid w:val="7364019D"/>
    <w:multiLevelType w:val="hybridMultilevel"/>
    <w:tmpl w:val="85AA31D6"/>
    <w:lvl w:ilvl="0" w:tplc="E6086642">
      <w:start w:val="1"/>
      <w:numFmt w:val="decimal"/>
      <w:lvlText w:val="%1."/>
      <w:lvlJc w:val="left"/>
      <w:pPr>
        <w:ind w:left="720" w:hanging="360"/>
      </w:pPr>
    </w:lvl>
    <w:lvl w:ilvl="1" w:tplc="354AD098">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7C842B70"/>
    <w:multiLevelType w:val="hybridMultilevel"/>
    <w:tmpl w:val="F1E6B57C"/>
    <w:lvl w:ilvl="0" w:tplc="04150017">
      <w:start w:val="1"/>
      <w:numFmt w:val="lowerLetter"/>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7D8E7355"/>
    <w:multiLevelType w:val="hybridMultilevel"/>
    <w:tmpl w:val="8BD27D8C"/>
    <w:lvl w:ilvl="0" w:tplc="0954192C">
      <w:start w:val="1"/>
      <w:numFmt w:val="decimal"/>
      <w:lvlText w:val="%1)"/>
      <w:lvlJc w:val="left"/>
      <w:pPr>
        <w:ind w:left="1287" w:hanging="360"/>
      </w:pPr>
      <w:rPr>
        <w:rFonts w:ascii="Arial" w:hAnsi="Arial" w:cs="Arial" w:hint="default"/>
        <w:b w:val="0"/>
        <w:i w:val="0"/>
        <w:sz w:val="22"/>
        <w:szCs w:val="22"/>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0" w15:restartNumberingAfterBreak="0">
    <w:nsid w:val="7ED45C43"/>
    <w:multiLevelType w:val="hybridMultilevel"/>
    <w:tmpl w:val="F2E6FF38"/>
    <w:lvl w:ilvl="0" w:tplc="96943D10">
      <w:start w:val="1"/>
      <w:numFmt w:val="decimal"/>
      <w:lvlText w:val="%1)"/>
      <w:lvlJc w:val="left"/>
      <w:pPr>
        <w:ind w:left="1287" w:hanging="360"/>
      </w:pPr>
      <w:rPr>
        <w:rFonts w:ascii="Arial Narrow" w:hAnsi="Arial Narrow" w:cs="Arial" w:hint="default"/>
        <w:b w:val="0"/>
        <w:i w:val="0"/>
        <w:sz w:val="24"/>
        <w:szCs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3"/>
  </w:num>
  <w:num w:numId="30">
    <w:abstractNumId w:val="15"/>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AC5"/>
    <w:rsid w:val="00051FD2"/>
    <w:rsid w:val="000919C1"/>
    <w:rsid w:val="000962A4"/>
    <w:rsid w:val="000B661D"/>
    <w:rsid w:val="00104071"/>
    <w:rsid w:val="0013087F"/>
    <w:rsid w:val="00153C1A"/>
    <w:rsid w:val="001A10B6"/>
    <w:rsid w:val="001D3F20"/>
    <w:rsid w:val="001E4CBE"/>
    <w:rsid w:val="00207FD0"/>
    <w:rsid w:val="00222007"/>
    <w:rsid w:val="002239AA"/>
    <w:rsid w:val="00224906"/>
    <w:rsid w:val="0023322C"/>
    <w:rsid w:val="00254378"/>
    <w:rsid w:val="002671F6"/>
    <w:rsid w:val="002A0C47"/>
    <w:rsid w:val="002F6FE6"/>
    <w:rsid w:val="003016F3"/>
    <w:rsid w:val="00382F53"/>
    <w:rsid w:val="0039745D"/>
    <w:rsid w:val="003B6443"/>
    <w:rsid w:val="003C0C61"/>
    <w:rsid w:val="00406759"/>
    <w:rsid w:val="004B6E45"/>
    <w:rsid w:val="004B71E4"/>
    <w:rsid w:val="0055557E"/>
    <w:rsid w:val="00560E9A"/>
    <w:rsid w:val="00584ABB"/>
    <w:rsid w:val="005B47E3"/>
    <w:rsid w:val="00620B3D"/>
    <w:rsid w:val="00625EBA"/>
    <w:rsid w:val="00694BE1"/>
    <w:rsid w:val="006D213A"/>
    <w:rsid w:val="00724AC5"/>
    <w:rsid w:val="00725EFE"/>
    <w:rsid w:val="00784157"/>
    <w:rsid w:val="007E3F87"/>
    <w:rsid w:val="00804BDD"/>
    <w:rsid w:val="008148BF"/>
    <w:rsid w:val="0082580E"/>
    <w:rsid w:val="008E6BC8"/>
    <w:rsid w:val="0090720D"/>
    <w:rsid w:val="009C30CF"/>
    <w:rsid w:val="009E0473"/>
    <w:rsid w:val="00A039F4"/>
    <w:rsid w:val="00A1261E"/>
    <w:rsid w:val="00A321AB"/>
    <w:rsid w:val="00AA2793"/>
    <w:rsid w:val="00B9445D"/>
    <w:rsid w:val="00BB64CA"/>
    <w:rsid w:val="00C20728"/>
    <w:rsid w:val="00C4498F"/>
    <w:rsid w:val="00C735BD"/>
    <w:rsid w:val="00C8459B"/>
    <w:rsid w:val="00C94721"/>
    <w:rsid w:val="00D30693"/>
    <w:rsid w:val="00D957FA"/>
    <w:rsid w:val="00E77CDD"/>
    <w:rsid w:val="00ED2206"/>
    <w:rsid w:val="00EE6FCD"/>
    <w:rsid w:val="00F17DB5"/>
    <w:rsid w:val="00F22366"/>
    <w:rsid w:val="00FC49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DDF6EB-B89E-49CF-A35A-4DB2446DD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C0C61"/>
    <w:pPr>
      <w:spacing w:after="0" w:line="240" w:lineRule="auto"/>
    </w:pPr>
    <w:rPr>
      <w:rFonts w:ascii="Times New Roman" w:eastAsia="Times New Roman" w:hAnsi="Times New Roman" w:cs="Times New Roman"/>
      <w:sz w:val="24"/>
      <w:szCs w:val="24"/>
      <w:lang w:eastAsia="pl-PL"/>
    </w:rPr>
  </w:style>
  <w:style w:type="paragraph" w:styleId="Nagwek6">
    <w:name w:val="heading 6"/>
    <w:basedOn w:val="Normalny"/>
    <w:next w:val="Normalny"/>
    <w:link w:val="Nagwek6Znak"/>
    <w:semiHidden/>
    <w:unhideWhenUsed/>
    <w:qFormat/>
    <w:rsid w:val="003C0C61"/>
    <w:p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kapitzlistZnak">
    <w:name w:val="Akapit z listą Znak"/>
    <w:link w:val="Akapitzlist"/>
    <w:uiPriority w:val="34"/>
    <w:locked/>
    <w:rsid w:val="00ED2206"/>
  </w:style>
  <w:style w:type="paragraph" w:styleId="Akapitzlist">
    <w:name w:val="List Paragraph"/>
    <w:basedOn w:val="Normalny"/>
    <w:link w:val="AkapitzlistZnak"/>
    <w:uiPriority w:val="34"/>
    <w:qFormat/>
    <w:rsid w:val="00ED2206"/>
    <w:pPr>
      <w:spacing w:after="200" w:line="276" w:lineRule="auto"/>
      <w:ind w:left="720"/>
      <w:contextualSpacing/>
    </w:pPr>
  </w:style>
  <w:style w:type="character" w:customStyle="1" w:styleId="Nagwek6Znak">
    <w:name w:val="Nagłówek 6 Znak"/>
    <w:basedOn w:val="Domylnaczcionkaakapitu"/>
    <w:link w:val="Nagwek6"/>
    <w:semiHidden/>
    <w:rsid w:val="003C0C61"/>
    <w:rPr>
      <w:rFonts w:ascii="Times New Roman" w:eastAsia="Times New Roman" w:hAnsi="Times New Roman" w:cs="Times New Roman"/>
      <w:b/>
      <w:bCs/>
      <w:lang w:eastAsia="pl-PL"/>
    </w:rPr>
  </w:style>
  <w:style w:type="paragraph" w:styleId="NormalnyWeb">
    <w:name w:val="Normal (Web)"/>
    <w:basedOn w:val="Normalny"/>
    <w:uiPriority w:val="99"/>
    <w:semiHidden/>
    <w:unhideWhenUsed/>
    <w:rsid w:val="003C0C61"/>
    <w:pPr>
      <w:spacing w:before="100" w:beforeAutospacing="1" w:after="100" w:afterAutospacing="1"/>
    </w:pPr>
  </w:style>
  <w:style w:type="paragraph" w:styleId="Tekstpodstawowy">
    <w:name w:val="Body Text"/>
    <w:basedOn w:val="Normalny"/>
    <w:link w:val="TekstpodstawowyZnak"/>
    <w:uiPriority w:val="99"/>
    <w:unhideWhenUsed/>
    <w:rsid w:val="003C0C61"/>
    <w:pPr>
      <w:spacing w:after="120"/>
    </w:pPr>
  </w:style>
  <w:style w:type="character" w:customStyle="1" w:styleId="TekstpodstawowyZnak">
    <w:name w:val="Tekst podstawowy Znak"/>
    <w:basedOn w:val="Domylnaczcionkaakapitu"/>
    <w:link w:val="Tekstpodstawowy"/>
    <w:uiPriority w:val="99"/>
    <w:rsid w:val="003C0C61"/>
    <w:rPr>
      <w:rFonts w:ascii="Times New Roman" w:eastAsia="Times New Roman" w:hAnsi="Times New Roman" w:cs="Times New Roman"/>
      <w:sz w:val="24"/>
      <w:szCs w:val="24"/>
      <w:lang w:eastAsia="pl-PL"/>
    </w:rPr>
  </w:style>
  <w:style w:type="paragraph" w:customStyle="1" w:styleId="Standard">
    <w:name w:val="Standard"/>
    <w:uiPriority w:val="99"/>
    <w:rsid w:val="003C0C61"/>
    <w:pPr>
      <w:suppressAutoHyphens/>
      <w:autoSpaceDN w:val="0"/>
      <w:spacing w:after="0" w:line="240" w:lineRule="auto"/>
    </w:pPr>
    <w:rPr>
      <w:rFonts w:ascii="Arial" w:eastAsia="Times New Roman" w:hAnsi="Arial" w:cs="Arial"/>
      <w:color w:val="000000"/>
      <w:kern w:val="3"/>
      <w:sz w:val="24"/>
      <w:szCs w:val="24"/>
      <w:lang w:eastAsia="ar-SA"/>
    </w:rPr>
  </w:style>
  <w:style w:type="paragraph" w:styleId="Tekstdymka">
    <w:name w:val="Balloon Text"/>
    <w:basedOn w:val="Normalny"/>
    <w:link w:val="TekstdymkaZnak"/>
    <w:uiPriority w:val="99"/>
    <w:semiHidden/>
    <w:unhideWhenUsed/>
    <w:rsid w:val="004B71E4"/>
    <w:rPr>
      <w:rFonts w:ascii="Segoe UI" w:hAnsi="Segoe UI" w:cs="Segoe UI"/>
      <w:sz w:val="18"/>
      <w:szCs w:val="18"/>
    </w:rPr>
  </w:style>
  <w:style w:type="character" w:customStyle="1" w:styleId="TekstdymkaZnak">
    <w:name w:val="Tekst dymka Znak"/>
    <w:basedOn w:val="Domylnaczcionkaakapitu"/>
    <w:link w:val="Tekstdymka"/>
    <w:uiPriority w:val="99"/>
    <w:semiHidden/>
    <w:rsid w:val="004B71E4"/>
    <w:rPr>
      <w:rFonts w:ascii="Segoe UI" w:eastAsia="Times New Roman" w:hAnsi="Segoe UI" w:cs="Segoe UI"/>
      <w:sz w:val="18"/>
      <w:szCs w:val="18"/>
      <w:lang w:eastAsia="pl-PL"/>
    </w:rPr>
  </w:style>
  <w:style w:type="character" w:styleId="Hipercze">
    <w:name w:val="Hyperlink"/>
    <w:basedOn w:val="Domylnaczcionkaakapitu"/>
    <w:uiPriority w:val="99"/>
    <w:semiHidden/>
    <w:unhideWhenUsed/>
    <w:rsid w:val="00E77CDD"/>
    <w:rPr>
      <w:color w:val="0563C1" w:themeColor="hyperlink"/>
      <w:u w:val="single"/>
    </w:rPr>
  </w:style>
  <w:style w:type="paragraph" w:styleId="Nagwek">
    <w:name w:val="header"/>
    <w:basedOn w:val="Normalny"/>
    <w:link w:val="NagwekZnak"/>
    <w:uiPriority w:val="99"/>
    <w:unhideWhenUsed/>
    <w:rsid w:val="002671F6"/>
    <w:pPr>
      <w:tabs>
        <w:tab w:val="center" w:pos="4536"/>
        <w:tab w:val="right" w:pos="9072"/>
      </w:tabs>
    </w:pPr>
  </w:style>
  <w:style w:type="character" w:customStyle="1" w:styleId="NagwekZnak">
    <w:name w:val="Nagłówek Znak"/>
    <w:basedOn w:val="Domylnaczcionkaakapitu"/>
    <w:link w:val="Nagwek"/>
    <w:uiPriority w:val="99"/>
    <w:rsid w:val="002671F6"/>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2671F6"/>
    <w:pPr>
      <w:tabs>
        <w:tab w:val="center" w:pos="4536"/>
        <w:tab w:val="right" w:pos="9072"/>
      </w:tabs>
    </w:pPr>
  </w:style>
  <w:style w:type="character" w:customStyle="1" w:styleId="StopkaZnak">
    <w:name w:val="Stopka Znak"/>
    <w:basedOn w:val="Domylnaczcionkaakapitu"/>
    <w:link w:val="Stopka"/>
    <w:uiPriority w:val="99"/>
    <w:rsid w:val="002671F6"/>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049041">
      <w:bodyDiv w:val="1"/>
      <w:marLeft w:val="0"/>
      <w:marRight w:val="0"/>
      <w:marTop w:val="0"/>
      <w:marBottom w:val="0"/>
      <w:divBdr>
        <w:top w:val="none" w:sz="0" w:space="0" w:color="auto"/>
        <w:left w:val="none" w:sz="0" w:space="0" w:color="auto"/>
        <w:bottom w:val="none" w:sz="0" w:space="0" w:color="auto"/>
        <w:right w:val="none" w:sz="0" w:space="0" w:color="auto"/>
      </w:divBdr>
    </w:div>
    <w:div w:id="844394870">
      <w:bodyDiv w:val="1"/>
      <w:marLeft w:val="0"/>
      <w:marRight w:val="0"/>
      <w:marTop w:val="0"/>
      <w:marBottom w:val="0"/>
      <w:divBdr>
        <w:top w:val="none" w:sz="0" w:space="0" w:color="auto"/>
        <w:left w:val="none" w:sz="0" w:space="0" w:color="auto"/>
        <w:bottom w:val="none" w:sz="0" w:space="0" w:color="auto"/>
        <w:right w:val="none" w:sz="0" w:space="0" w:color="auto"/>
      </w:divBdr>
    </w:div>
    <w:div w:id="877397811">
      <w:bodyDiv w:val="1"/>
      <w:marLeft w:val="0"/>
      <w:marRight w:val="0"/>
      <w:marTop w:val="0"/>
      <w:marBottom w:val="0"/>
      <w:divBdr>
        <w:top w:val="none" w:sz="0" w:space="0" w:color="auto"/>
        <w:left w:val="none" w:sz="0" w:space="0" w:color="auto"/>
        <w:bottom w:val="none" w:sz="0" w:space="0" w:color="auto"/>
        <w:right w:val="none" w:sz="0" w:space="0" w:color="auto"/>
      </w:divBdr>
    </w:div>
    <w:div w:id="154587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E28D9-C399-4014-AA7F-EEBD21AC3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14</Pages>
  <Words>3133</Words>
  <Characters>18802</Characters>
  <Application>Microsoft Office Word</Application>
  <DocSecurity>0</DocSecurity>
  <Lines>156</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Tadeusz Konopacki</dc:creator>
  <cp:keywords/>
  <dc:description/>
  <cp:lastModifiedBy>Tadeusz Konopacki</cp:lastModifiedBy>
  <cp:revision>24</cp:revision>
  <cp:lastPrinted>2020-02-06T07:27:00Z</cp:lastPrinted>
  <dcterms:created xsi:type="dcterms:W3CDTF">2020-03-02T12:15:00Z</dcterms:created>
  <dcterms:modified xsi:type="dcterms:W3CDTF">2020-03-05T14:01:00Z</dcterms:modified>
</cp:coreProperties>
</file>